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B2F511E" w14:textId="4EEDA722">
      <w:pPr>
        <w:pBdr>
          <w:top w:val="single" w:color="000000" w:sz="4" w:space="1"/>
          <w:left w:val="single" w:color="000000" w:sz="4" w:space="4"/>
          <w:bottom w:val="single" w:color="000000" w:sz="4" w:space="1"/>
          <w:right w:val="single" w:color="000000" w:sz="4" w:space="4"/>
        </w:pBdr>
        <w:tabs>
          <w:tab w:val="left" w:leader="none" w:pos="6480"/>
        </w:tabs>
        <w:spacing w:before="120"/>
        <w:ind/>
        <w:jc w:val="center"/>
        <w:outlineLvl w:val="0"/>
        <w:rPr>
          <w:rFonts w:asciiTheme="minorHAnsi" w:hAnsiTheme="minorHAnsi" w:cstheme="minorHAnsi"/>
          <w:b/>
          <w:bCs/>
          <w:caps/>
          <w:sz w:val="32"/>
          <w:szCs w:val="28"/>
        </w:rPr>
      </w:pPr>
      <w:r>
        <w:rPr>
          <w:rFonts w:asciiTheme="minorHAnsi" w:hAnsiTheme="minorHAnsi" w:cstheme="minorHAnsi"/>
          <w:b/>
          <w:bCs/>
          <w:caps/>
          <w:sz w:val="32"/>
          <w:szCs w:val="28"/>
        </w:rPr>
        <w:t xml:space="preserve">TERMES DE RÉFÉRENCE</w:t>
      </w:r>
      <w:r>
        <w:rPr>
          <w:rFonts w:asciiTheme="minorHAnsi" w:hAnsiTheme="minorHAnsi" w:cstheme="minorHAnsi"/>
          <w:b/>
          <w:bCs/>
          <w:caps/>
          <w:sz w:val="32"/>
          <w:szCs w:val="28"/>
        </w:rPr>
      </w:r>
    </w:p>
    <w:p w14:paraId="2688F442" w14:textId="264F3AC1">
      <w:pPr>
        <w:pBdr>
          <w:top w:val="single" w:color="000000" w:sz="4" w:space="1"/>
          <w:left w:val="single" w:color="000000" w:sz="4" w:space="4"/>
          <w:bottom w:val="single" w:color="000000" w:sz="4" w:space="1"/>
          <w:right w:val="single" w:color="000000" w:sz="4" w:space="4"/>
        </w:pBdr>
        <w:tabs>
          <w:tab w:val="left" w:leader="none" w:pos="6480"/>
        </w:tabs>
        <w:spacing w:before="120"/>
        <w:ind/>
        <w:jc w:val="center"/>
        <w:outlineLvl w:val="0"/>
        <w:rPr>
          <w:rFonts w:asciiTheme="minorHAnsi" w:hAnsiTheme="minorHAnsi" w:cstheme="minorHAnsi"/>
          <w:b/>
          <w:bCs/>
          <w:caps/>
          <w:sz w:val="32"/>
        </w:rPr>
      </w:pPr>
      <w:r>
        <w:rPr>
          <w:rFonts w:asciiTheme="minorHAnsi" w:hAnsiTheme="minorHAnsi" w:cstheme="minorHAnsi"/>
          <w:b/>
          <w:bCs/>
          <w:caps/>
          <w:sz w:val="32"/>
          <w:szCs w:val="28"/>
        </w:rPr>
        <w:t xml:space="preserve">ET SPÉCIFICATIONS TECHNIQUES</w:t>
      </w:r>
      <w:r>
        <w:rPr>
          <w:rFonts w:asciiTheme="minorHAnsi" w:hAnsiTheme="minorHAnsi" w:cstheme="minorHAnsi"/>
          <w:b/>
          <w:bCs/>
          <w:caps/>
          <w:sz w:val="32"/>
        </w:rPr>
      </w:r>
    </w:p>
    <w:p w14:paraId="6F0F585F" w14:textId="77777777">
      <w:pPr>
        <w:pBdr/>
        <w:spacing w:before="60"/>
        <w:ind/>
        <w:jc w:val="both"/>
        <w:outlineLvl w:val="0"/>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3ABE30E5" w14:textId="29F3CCB7">
      <w:pPr>
        <w:numPr>
          <w:ilvl w:val="0"/>
          <w:numId w:val="26"/>
        </w:numPr>
        <w:pBdr/>
        <w:shd w:val="clear" w:color="auto" w:fill="e6e6e6"/>
        <w:tabs>
          <w:tab w:val="num" w:leader="none" w:pos="180"/>
        </w:tabs>
        <w:spacing/>
        <w:ind w:left="180"/>
        <w:rPr>
          <w:rFonts w:eastAsia="Arial Unicode MS" w:asciiTheme="minorHAnsi" w:hAnsiTheme="minorHAnsi" w:cstheme="minorHAnsi"/>
          <w:b/>
          <w:sz w:val="20"/>
          <w:szCs w:val="20"/>
        </w:rPr>
      </w:pPr>
      <w:r>
        <w:rPr>
          <w:rFonts w:eastAsia="Arial Unicode MS" w:asciiTheme="minorHAnsi" w:hAnsiTheme="minorHAnsi" w:cstheme="minorHAnsi"/>
          <w:b/>
          <w:bCs/>
          <w:sz w:val="20"/>
          <w:szCs w:val="20"/>
        </w:rPr>
        <w:t xml:space="preserve">Informations générales</w:t>
      </w:r>
      <w:r>
        <w:rPr>
          <w:rFonts w:eastAsia="Arial Unicode MS" w:asciiTheme="minorHAnsi" w:hAnsiTheme="minorHAnsi" w:cstheme="minorHAnsi"/>
          <w:b/>
          <w:sz w:val="20"/>
          <w:szCs w:val="20"/>
        </w:rPr>
      </w:r>
    </w:p>
    <w:p w14:paraId="2D6688C0" w14:textId="77777777">
      <w:pPr>
        <w:pBdr/>
        <w:spacing w:before="60"/>
        <w:ind/>
        <w:jc w:val="both"/>
        <w:outlineLvl w:val="0"/>
        <w:rPr>
          <w:rFonts w:ascii="Calibri" w:hAnsi="Calibri" w:cs="Calibri"/>
          <w:sz w:val="20"/>
          <w:szCs w:val="20"/>
        </w:rPr>
      </w:pPr>
      <w:r>
        <w:rPr>
          <w:rFonts w:ascii="Calibri" w:hAnsi="Calibri" w:cs="Calibri"/>
          <w:sz w:val="20"/>
          <w:szCs w:val="20"/>
        </w:rPr>
      </w:r>
      <w:r>
        <w:rPr>
          <w:rFonts w:ascii="Calibri" w:hAnsi="Calibri" w:cs="Calibri"/>
          <w:sz w:val="20"/>
          <w:szCs w:val="20"/>
        </w:rPr>
      </w:r>
    </w:p>
    <w:p w14:paraId="5198F322" w14:textId="778353AD">
      <w:pPr>
        <w:pStyle w:val="1027"/>
        <w:pBdr/>
        <w:spacing/>
        <w:ind w:hanging="2832" w:left="2832"/>
        <w:jc w:val="both"/>
        <w:rPr>
          <w:rFonts w:cs="Calibri"/>
          <w:color w:val="000000"/>
          <w:sz w:val="20"/>
          <w:szCs w:val="20"/>
          <w:lang w:val="fr-FR"/>
        </w:rPr>
      </w:pPr>
      <w:r>
        <w:rPr>
          <w:rFonts w:cs="Calibri"/>
          <w:b/>
          <w:color w:val="000000"/>
          <w:sz w:val="20"/>
          <w:szCs w:val="20"/>
          <w:lang w:val="fr-FR"/>
        </w:rPr>
        <w:t xml:space="preserve">Nom du projet :</w:t>
      </w:r>
      <w:r>
        <w:rPr>
          <w:rFonts w:cs="Calibri"/>
          <w:color w:val="000000"/>
          <w:sz w:val="20"/>
          <w:szCs w:val="20"/>
          <w:lang w:val="fr-FR"/>
        </w:rPr>
        <w:t xml:space="preserve"> </w:t>
      </w:r>
      <w:r>
        <w:rPr>
          <w:rFonts w:cs="Calibri"/>
          <w:color w:val="000000"/>
          <w:sz w:val="20"/>
          <w:szCs w:val="20"/>
          <w:lang w:val="fr-FR"/>
        </w:rPr>
        <w:tab/>
      </w:r>
      <w:r>
        <w:rPr>
          <w:rFonts w:cs="Calibri"/>
          <w:color w:val="000000"/>
          <w:sz w:val="20"/>
          <w:szCs w:val="20"/>
          <w:lang w:val="fr-FR"/>
        </w:rPr>
        <w:t xml:space="preserve">Appui aux progrès dans des domaines clés de la réforme de l’administration publique au Liban</w:t>
      </w:r>
      <w:r>
        <w:rPr>
          <w:rFonts w:cs="Calibri"/>
          <w:color w:val="000000"/>
          <w:sz w:val="20"/>
          <w:szCs w:val="20"/>
          <w:lang w:val="fr-FR"/>
        </w:rPr>
      </w:r>
    </w:p>
    <w:p w14:paraId="73B440D5" w14:textId="41083382">
      <w:pPr>
        <w:pStyle w:val="1027"/>
        <w:pBdr/>
        <w:spacing/>
        <w:ind w:hanging="2832" w:left="2832"/>
        <w:jc w:val="both"/>
        <w:rPr>
          <w:rFonts w:cs="Calibri"/>
          <w:color w:val="000000"/>
          <w:sz w:val="20"/>
          <w:szCs w:val="20"/>
          <w:lang w:val="fr-FR"/>
        </w:rPr>
      </w:pPr>
      <w:r>
        <w:rPr>
          <w:rFonts w:cs="Calibri"/>
          <w:b/>
          <w:color w:val="000000"/>
          <w:sz w:val="20"/>
          <w:szCs w:val="20"/>
          <w:lang w:val="fr-FR"/>
        </w:rPr>
        <w:t xml:space="preserve">Bailleur :</w:t>
      </w:r>
      <w:r>
        <w:rPr>
          <w:rFonts w:cs="Calibri"/>
          <w:color w:val="000000"/>
          <w:sz w:val="20"/>
          <w:szCs w:val="20"/>
          <w:lang w:val="fr-FR"/>
        </w:rPr>
        <w:tab/>
      </w:r>
      <w:r>
        <w:rPr>
          <w:rFonts w:cs="Calibri"/>
          <w:color w:val="000000"/>
          <w:sz w:val="20"/>
          <w:szCs w:val="20"/>
          <w:lang w:val="fr-FR"/>
        </w:rPr>
        <w:t xml:space="preserve">Union européenne</w:t>
      </w:r>
      <w:r>
        <w:rPr>
          <w:rFonts w:cs="Calibri"/>
          <w:color w:val="000000"/>
          <w:sz w:val="20"/>
          <w:szCs w:val="20"/>
          <w:lang w:val="fr-FR"/>
        </w:rPr>
      </w:r>
    </w:p>
    <w:p w14:paraId="65281148" w14:textId="5F24C5FB">
      <w:pPr>
        <w:pStyle w:val="1027"/>
        <w:pBdr/>
        <w:spacing/>
        <w:ind/>
        <w:jc w:val="both"/>
        <w:rPr>
          <w:rFonts w:cs="Calibri"/>
          <w:color w:val="000000"/>
          <w:sz w:val="20"/>
          <w:szCs w:val="20"/>
          <w:lang w:val="fr-FR"/>
        </w:rPr>
      </w:pPr>
      <w:r>
        <w:rPr>
          <w:rFonts w:cs="Calibri"/>
          <w:b/>
          <w:color w:val="000000"/>
          <w:sz w:val="20"/>
          <w:szCs w:val="20"/>
          <w:lang w:val="fr-FR"/>
        </w:rPr>
        <w:t xml:space="preserve">Agence d’exécution </w:t>
      </w:r>
      <w:r>
        <w:rPr>
          <w:rFonts w:cs="Calibri"/>
          <w:b/>
          <w:color w:val="000000"/>
          <w:sz w:val="20"/>
          <w:szCs w:val="20"/>
          <w:lang w:val="fr-FR"/>
        </w:rPr>
        <w:t xml:space="preserve">: </w:t>
      </w:r>
      <w:r>
        <w:rPr>
          <w:rFonts w:cs="Calibri"/>
          <w:b/>
          <w:color w:val="000000"/>
          <w:sz w:val="20"/>
          <w:szCs w:val="20"/>
          <w:lang w:val="fr-FR"/>
        </w:rPr>
        <w:tab/>
      </w:r>
      <w:r>
        <w:rPr>
          <w:rFonts w:cs="Calibri"/>
          <w:color w:val="000000"/>
          <w:sz w:val="20"/>
          <w:szCs w:val="20"/>
          <w:lang w:val="fr-FR"/>
        </w:rPr>
        <w:t xml:space="preserve">              </w:t>
      </w:r>
      <w:r>
        <w:rPr>
          <w:rFonts w:cs="Calibri"/>
          <w:color w:val="000000"/>
          <w:sz w:val="20"/>
          <w:szCs w:val="20"/>
          <w:lang w:val="fr-FR"/>
        </w:rPr>
        <w:t xml:space="preserve">  </w:t>
      </w:r>
      <w:r>
        <w:rPr>
          <w:rFonts w:cs="Calibri"/>
          <w:color w:val="000000"/>
          <w:sz w:val="20"/>
          <w:szCs w:val="20"/>
          <w:lang w:val="fr-FR"/>
        </w:rPr>
        <w:t xml:space="preserve">Expertise France </w:t>
      </w:r>
      <w:r>
        <w:rPr>
          <w:rFonts w:cs="Calibri"/>
          <w:color w:val="000000"/>
          <w:sz w:val="20"/>
          <w:szCs w:val="20"/>
          <w:lang w:val="fr-FR"/>
        </w:rPr>
      </w:r>
    </w:p>
    <w:p w14:paraId="4D2BD232" w14:textId="41E4E506">
      <w:pPr>
        <w:pStyle w:val="1027"/>
        <w:pBdr/>
        <w:spacing/>
        <w:ind w:hanging="2832" w:left="2832"/>
        <w:jc w:val="both"/>
        <w:rPr>
          <w:rFonts w:cs="Calibri"/>
          <w:color w:val="000000"/>
          <w:sz w:val="20"/>
          <w:szCs w:val="20"/>
          <w:lang w:val="fr-FR"/>
        </w:rPr>
      </w:pPr>
      <w:r>
        <w:rPr>
          <w:rFonts w:cs="Calibri"/>
          <w:b/>
          <w:color w:val="000000"/>
          <w:sz w:val="20"/>
          <w:szCs w:val="20"/>
          <w:lang w:val="fr-FR"/>
        </w:rPr>
        <w:t xml:space="preserve">Bénéficiaires</w:t>
      </w:r>
      <w:r>
        <w:rPr>
          <w:rFonts w:cs="Calibri"/>
          <w:b/>
          <w:color w:val="000000"/>
          <w:sz w:val="20"/>
          <w:szCs w:val="20"/>
          <w:lang w:val="fr-FR"/>
        </w:rPr>
        <w:t xml:space="preserve"> </w:t>
      </w:r>
      <w:r>
        <w:rPr>
          <w:rFonts w:cs="Calibri"/>
          <w:b/>
          <w:color w:val="000000"/>
          <w:sz w:val="20"/>
          <w:szCs w:val="20"/>
          <w:lang w:val="fr-FR"/>
        </w:rPr>
        <w:t xml:space="preserve">:</w:t>
      </w:r>
      <w:r>
        <w:rPr>
          <w:rFonts w:cs="Calibri"/>
          <w:color w:val="000000"/>
          <w:sz w:val="20"/>
          <w:szCs w:val="20"/>
          <w:lang w:val="fr-FR"/>
        </w:rPr>
        <w:t xml:space="preserve"> </w:t>
      </w:r>
      <w:r>
        <w:rPr>
          <w:rFonts w:cs="Calibri"/>
          <w:color w:val="000000"/>
          <w:sz w:val="20"/>
          <w:szCs w:val="20"/>
          <w:lang w:val="fr-FR"/>
        </w:rPr>
        <w:tab/>
      </w:r>
      <w:r>
        <w:rPr>
          <w:rFonts w:cs="Calibri"/>
          <w:color w:val="000000"/>
          <w:sz w:val="20"/>
          <w:szCs w:val="20"/>
          <w:lang w:val="fr-FR"/>
        </w:rPr>
        <w:t xml:space="preserve">Conseil de la Fonction publique, Autorité des marchés publics, Cour des comptes, Inspection centrale et Commission nationale de lutte contre la corruption</w:t>
      </w:r>
      <w:r>
        <w:rPr>
          <w:rFonts w:cs="Calibri"/>
          <w:color w:val="000000"/>
          <w:sz w:val="20"/>
          <w:szCs w:val="20"/>
          <w:lang w:val="fr-FR"/>
        </w:rPr>
      </w:r>
    </w:p>
    <w:p w14:paraId="252B963E" w14:textId="13A0239C">
      <w:pPr>
        <w:pStyle w:val="1027"/>
        <w:pBdr/>
        <w:spacing/>
        <w:ind w:hanging="2832" w:left="2832"/>
        <w:jc w:val="both"/>
        <w:rPr>
          <w:rFonts w:cs="Calibri"/>
          <w:color w:val="000000"/>
          <w:sz w:val="20"/>
          <w:szCs w:val="20"/>
          <w:lang w:val="fr-FR"/>
        </w:rPr>
      </w:pPr>
      <w:r>
        <w:rPr>
          <w:rFonts w:cs="Calibri"/>
          <w:b/>
          <w:color w:val="000000"/>
          <w:sz w:val="20"/>
          <w:szCs w:val="20"/>
          <w:lang w:val="fr-FR"/>
        </w:rPr>
        <w:t xml:space="preserve">Intitulé de la mission</w:t>
      </w:r>
      <w:r>
        <w:rPr>
          <w:rFonts w:cs="Calibri"/>
          <w:b/>
          <w:color w:val="000000"/>
          <w:sz w:val="20"/>
          <w:szCs w:val="20"/>
          <w:lang w:val="fr-FR"/>
        </w:rPr>
        <w:t xml:space="preserve"> </w:t>
      </w:r>
      <w:r>
        <w:rPr>
          <w:rFonts w:cs="Calibri"/>
          <w:b/>
          <w:color w:val="000000"/>
          <w:sz w:val="20"/>
          <w:szCs w:val="20"/>
          <w:lang w:val="fr-FR"/>
        </w:rPr>
        <w:t xml:space="preserve">:</w:t>
      </w:r>
      <w:r>
        <w:rPr>
          <w:rFonts w:cs="Calibri"/>
          <w:b/>
          <w:color w:val="000000"/>
          <w:sz w:val="20"/>
          <w:szCs w:val="20"/>
          <w:lang w:val="fr-FR"/>
        </w:rPr>
        <w:tab/>
      </w:r>
      <w:r>
        <w:rPr>
          <w:rFonts w:cs="Calibri"/>
          <w:bCs/>
          <w:color w:val="000000"/>
          <w:sz w:val="20"/>
          <w:szCs w:val="20"/>
          <w:lang w:val="fr-FR"/>
        </w:rPr>
        <w:t xml:space="preserve">Contractualisation d’un prestataire de services pour la rénovation d’une salle de réunion au sein de l’Inspection centrale</w:t>
      </w:r>
      <w:r>
        <w:rPr>
          <w:rFonts w:cs="Calibri"/>
          <w:color w:val="000000"/>
          <w:sz w:val="20"/>
          <w:szCs w:val="20"/>
          <w:lang w:val="fr-FR"/>
        </w:rPr>
      </w:r>
    </w:p>
    <w:p w14:paraId="2676E202">
      <w:pPr>
        <w:pBdr/>
        <w:spacing w:line="240" w:lineRule="auto"/>
        <w:ind/>
        <w:jc w:val="both"/>
        <w:rPr>
          <w:rFonts w:asciiTheme="minorHAnsi" w:hAnsiTheme="minorHAnsi" w:cstheme="minorHAnsi"/>
          <w:sz w:val="22"/>
          <w:szCs w:val="22"/>
        </w:rPr>
      </w:pPr>
      <w:r>
        <w:rPr>
          <w:rFonts w:cs="Calibri"/>
          <w:b/>
          <w:sz w:val="20"/>
          <w:szCs w:val="20"/>
          <w:lang w:val="fr-FR"/>
        </w:rPr>
        <w:t xml:space="preserve">Durée de la mission</w:t>
      </w:r>
      <w:r>
        <w:rPr>
          <w:rFonts w:cs="Calibri"/>
          <w:b/>
          <w:sz w:val="20"/>
          <w:szCs w:val="20"/>
          <w:lang w:val="fr-FR"/>
        </w:rPr>
        <w:t xml:space="preserve"> </w:t>
      </w:r>
      <w:r>
        <w:rPr>
          <w:rFonts w:cs="Calibri"/>
          <w:b/>
          <w:sz w:val="20"/>
          <w:szCs w:val="20"/>
          <w:lang w:val="fr-FR"/>
        </w:rPr>
        <w:t xml:space="preserve">:</w:t>
      </w:r>
      <w:r>
        <w:rPr>
          <w:rFonts w:cs="Calibri"/>
          <w:sz w:val="20"/>
          <w:szCs w:val="20"/>
          <w:lang w:val="fr-FR"/>
        </w:rPr>
        <w:t xml:space="preserve">     </w:t>
      </w:r>
      <w:r>
        <w:rPr>
          <w:rFonts w:cs="Calibri"/>
          <w:sz w:val="20"/>
          <w:szCs w:val="20"/>
          <w:lang w:val="fr-FR"/>
        </w:rPr>
        <w:t xml:space="preserve">   </w:t>
      </w:r>
      <w:r>
        <w:rPr>
          <w:rFonts w:cs="Calibri"/>
          <w:sz w:val="20"/>
          <w:szCs w:val="20"/>
          <w:lang w:val="fr-FR"/>
        </w:rPr>
        <w:t xml:space="preserve">             </w:t>
      </w:r>
      <w:r>
        <w:rPr>
          <w:rFonts w:cs="Calibri"/>
          <w:sz w:val="20"/>
          <w:szCs w:val="20"/>
          <w:lang w:val="fr-FR"/>
        </w:rPr>
        <w:t xml:space="preserve"> </w:t>
      </w:r>
      <w:r>
        <w:rPr>
          <w:rFonts w:asciiTheme="minorHAnsi" w:hAnsiTheme="minorHAnsi" w:cstheme="minorHAnsi"/>
          <w:sz w:val="22"/>
          <w:szCs w:val="22"/>
        </w:rPr>
      </w:r>
      <w:r>
        <w:rPr>
          <w:rFonts w:eastAsia="Arial Unicode MS" w:asciiTheme="minorHAnsi" w:hAnsiTheme="minorHAnsi" w:cstheme="minorHAnsi"/>
          <w:sz w:val="20"/>
          <w:szCs w:val="20"/>
        </w:rPr>
        <w:t xml:space="preserve"> </w:t>
      </w:r>
      <w:r>
        <w:rPr>
          <w:rFonts w:asciiTheme="minorHAnsi" w:hAnsiTheme="minorHAnsi" w:cstheme="minorHAnsi"/>
          <w:sz w:val="22"/>
          <w:szCs w:val="22"/>
        </w:rPr>
        <w:t xml:space="preserve">La durée </w:t>
      </w:r>
      <w:r>
        <w:rPr>
          <w:rFonts w:asciiTheme="minorHAnsi" w:hAnsiTheme="minorHAnsi" w:cstheme="minorHAnsi"/>
          <w:sz w:val="22"/>
          <w:szCs w:val="22"/>
        </w:rPr>
        <w:t xml:space="preserve">prévisionnelle </w:t>
      </w:r>
      <w:r>
        <w:rPr>
          <w:rFonts w:asciiTheme="minorHAnsi" w:hAnsiTheme="minorHAnsi" w:cstheme="minorHAnsi"/>
          <w:sz w:val="22"/>
          <w:szCs w:val="22"/>
        </w:rPr>
        <w:t xml:space="preserve">du contrat </w:t>
      </w:r>
      <w:r>
        <w:rPr>
          <w:rFonts w:asciiTheme="minorHAnsi" w:hAnsiTheme="minorHAnsi" w:cstheme="minorHAnsi"/>
          <w:sz w:val="22"/>
          <w:szCs w:val="22"/>
        </w:rPr>
        <w:t xml:space="preserve">dependera la duree proposee dans l’offre retenue</w:t>
      </w:r>
      <w:r/>
      <w:r>
        <w:rPr>
          <w:rFonts w:asciiTheme="minorHAnsi" w:hAnsiTheme="minorHAnsi" w:cstheme="minorHAnsi"/>
          <w:sz w:val="22"/>
          <w:szCs w:val="22"/>
        </w:rPr>
      </w:r>
      <w:r>
        <w:rPr>
          <w:rFonts w:asciiTheme="minorHAnsi" w:hAnsiTheme="minorHAnsi" w:cstheme="minorHAnsi"/>
          <w:sz w:val="22"/>
          <w:szCs w:val="22"/>
        </w:rPr>
      </w:r>
    </w:p>
    <w:p w14:paraId="18630C1E">
      <w:pPr>
        <w:pStyle w:val="1027"/>
        <w:pBdr/>
        <w:spacing/>
        <w:ind/>
        <w:jc w:val="both"/>
        <w:rPr>
          <w:rFonts w:cs="Calibri"/>
          <w:sz w:val="20"/>
          <w:szCs w:val="20"/>
          <w:lang w:val="fr-FR" w:bidi="ar-LB"/>
        </w:rPr>
      </w:pPr>
      <w:r>
        <w:rPr>
          <w:rFonts w:cs="Calibri"/>
          <w:sz w:val="20"/>
          <w:szCs w:val="20"/>
          <w:lang w:val="fr-FR"/>
        </w:rPr>
      </w:r>
      <w:r>
        <w:rPr>
          <w:rFonts w:cs="Calibri"/>
          <w:sz w:val="20"/>
          <w:szCs w:val="20"/>
          <w:lang w:val="fr-FR" w:bidi="ar-LB"/>
        </w:rPr>
      </w:r>
      <w:r/>
    </w:p>
    <w:p w14:paraId="7E418BD2" w14:textId="1FCA6829">
      <w:pPr>
        <w:pStyle w:val="1027"/>
        <w:pBdr/>
        <w:spacing/>
        <w:ind w:hanging="2832" w:left="2832"/>
        <w:jc w:val="both"/>
        <w:rPr>
          <w:rFonts w:cs="Calibri"/>
          <w:sz w:val="20"/>
          <w:szCs w:val="20"/>
          <w:rtl/>
          <w:lang w:val="fr-FR"/>
        </w:rPr>
      </w:pPr>
      <w:r>
        <w:rPr>
          <w:rFonts w:cs="Calibri"/>
          <w:b/>
          <w:color w:val="000000"/>
          <w:sz w:val="20"/>
          <w:szCs w:val="20"/>
          <w:lang w:val="fr-FR"/>
        </w:rPr>
        <w:t xml:space="preserve">Lieu d’exécution</w:t>
      </w:r>
      <w:r>
        <w:rPr>
          <w:rFonts w:cs="Calibri"/>
          <w:b/>
          <w:color w:val="000000"/>
          <w:sz w:val="20"/>
          <w:szCs w:val="20"/>
          <w:lang w:val="fr-FR"/>
        </w:rPr>
        <w:t xml:space="preserve"> </w:t>
      </w:r>
      <w:r>
        <w:rPr>
          <w:rFonts w:cs="Calibri"/>
          <w:b/>
          <w:color w:val="000000"/>
          <w:sz w:val="20"/>
          <w:szCs w:val="20"/>
          <w:lang w:val="fr-FR"/>
        </w:rPr>
        <w:t xml:space="preserve">:</w:t>
      </w:r>
      <w:r>
        <w:rPr>
          <w:rFonts w:cs="Calibri"/>
          <w:color w:val="000000"/>
          <w:sz w:val="20"/>
          <w:szCs w:val="20"/>
          <w:lang w:val="fr-FR"/>
        </w:rPr>
        <w:t xml:space="preserve"> </w:t>
      </w:r>
      <w:r>
        <w:rPr>
          <w:rFonts w:cs="Calibri"/>
          <w:color w:val="000000"/>
          <w:sz w:val="20"/>
          <w:szCs w:val="20"/>
          <w:lang w:val="fr-FR"/>
        </w:rPr>
        <w:tab/>
      </w:r>
      <w:r>
        <w:rPr>
          <w:rFonts w:cs="Calibri"/>
          <w:sz w:val="20"/>
          <w:szCs w:val="20"/>
          <w:lang w:val="fr-FR"/>
        </w:rPr>
        <w:t xml:space="preserve">Beyrouth, Liban</w:t>
      </w:r>
      <w:r>
        <w:rPr>
          <w:rFonts w:cs="Calibri"/>
          <w:sz w:val="20"/>
          <w:szCs w:val="20"/>
          <w:rtl/>
          <w:lang w:val="fr-FR"/>
        </w:rPr>
      </w:r>
    </w:p>
    <w:p w14:paraId="339DFDC9" w14:textId="35B1AC3D">
      <w:pPr>
        <w:pStyle w:val="1027"/>
        <w:pBdr/>
        <w:spacing/>
        <w:ind w:hanging="2832" w:left="2832"/>
        <w:jc w:val="both"/>
        <w:rPr>
          <w:rFonts w:cs="Calibri"/>
          <w:color w:val="000000"/>
          <w:sz w:val="20"/>
          <w:szCs w:val="20"/>
          <w:lang w:val="fr-FR"/>
        </w:rPr>
      </w:pPr>
      <w:r>
        <w:rPr>
          <w:rFonts w:cs="Calibri"/>
          <w:b/>
          <w:color w:val="000000"/>
          <w:sz w:val="20"/>
          <w:szCs w:val="20"/>
          <w:lang w:val="fr-FR"/>
        </w:rPr>
        <w:t xml:space="preserve">Personne de contact</w:t>
      </w:r>
      <w:r>
        <w:rPr>
          <w:rFonts w:cs="Calibri"/>
          <w:b/>
          <w:color w:val="000000"/>
          <w:sz w:val="20"/>
          <w:szCs w:val="20"/>
          <w:lang w:val="fr-FR"/>
        </w:rPr>
        <w:t xml:space="preserve"> </w:t>
      </w:r>
      <w:r>
        <w:rPr>
          <w:rFonts w:cs="Calibri"/>
          <w:b/>
          <w:color w:val="000000"/>
          <w:sz w:val="20"/>
          <w:szCs w:val="20"/>
          <w:lang w:val="fr-FR"/>
        </w:rPr>
        <w:t xml:space="preserve">:</w:t>
      </w:r>
      <w:r>
        <w:rPr>
          <w:rFonts w:cs="Calibri"/>
          <w:color w:val="000000"/>
          <w:sz w:val="20"/>
          <w:szCs w:val="20"/>
          <w:lang w:val="fr-FR"/>
        </w:rPr>
        <w:t xml:space="preserve">                       </w:t>
      </w:r>
      <w:hyperlink r:id="rId16" w:tooltip="mailto:rayan.merheb@expertisefrance.fr" w:history="1">
        <w:r>
          <w:rPr>
            <w:rStyle w:val="1015"/>
            <w:rFonts w:cs="Calibri"/>
            <w:sz w:val="20"/>
            <w:szCs w:val="20"/>
            <w:lang w:val="fr-FR"/>
          </w:rPr>
          <w:t xml:space="preserve">rayan.merheb@expertisefrance.fr</w:t>
        </w:r>
      </w:hyperlink>
      <w:r>
        <w:rPr>
          <w:rFonts w:cs="Calibri"/>
          <w:color w:val="000000"/>
          <w:sz w:val="20"/>
          <w:szCs w:val="20"/>
          <w:lang w:val="fr-FR"/>
        </w:rPr>
        <w:t xml:space="preserve"> </w:t>
      </w:r>
      <w:r>
        <w:rPr>
          <w:rFonts w:cs="Calibri"/>
          <w:color w:val="000000"/>
          <w:sz w:val="20"/>
          <w:szCs w:val="20"/>
          <w:lang w:val="fr-FR"/>
        </w:rPr>
      </w:r>
    </w:p>
    <w:p w14:paraId="5639991B" w14:textId="77777777">
      <w:pPr>
        <w:pBdr/>
        <w:spacing w:before="60"/>
        <w:ind/>
        <w:jc w:val="both"/>
        <w:outlineLvl w:val="0"/>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AB3782C" w14:textId="5F3C9189">
      <w:pPr>
        <w:numPr>
          <w:ilvl w:val="0"/>
          <w:numId w:val="1"/>
        </w:numPr>
        <w:pBdr/>
        <w:shd w:val="clear" w:color="auto" w:fill="e6e6e6"/>
        <w:tabs>
          <w:tab w:val="num" w:leader="none" w:pos="180"/>
          <w:tab w:val="clear" w:leader="none" w:pos="720"/>
        </w:tabs>
        <w:spacing/>
        <w:ind w:left="180"/>
        <w:rPr>
          <w:rFonts w:eastAsia="Arial Unicode MS" w:asciiTheme="minorHAnsi" w:hAnsiTheme="minorHAnsi" w:cstheme="minorHAnsi"/>
          <w:b/>
          <w:sz w:val="20"/>
          <w:szCs w:val="20"/>
        </w:rPr>
      </w:pPr>
      <w:r>
        <w:rPr>
          <w:rFonts w:eastAsia="Arial Unicode MS" w:asciiTheme="minorHAnsi" w:hAnsiTheme="minorHAnsi" w:cstheme="minorHAnsi"/>
          <w:b/>
          <w:bCs/>
          <w:sz w:val="20"/>
          <w:szCs w:val="20"/>
        </w:rPr>
        <w:t xml:space="preserve">Contexte et justification du besoin</w:t>
      </w:r>
      <w:r>
        <w:rPr>
          <w:rFonts w:eastAsia="Arial Unicode MS" w:asciiTheme="minorHAnsi" w:hAnsiTheme="minorHAnsi" w:cstheme="minorHAnsi"/>
          <w:b/>
          <w:sz w:val="20"/>
          <w:szCs w:val="20"/>
        </w:rPr>
      </w:r>
    </w:p>
    <w:p w14:paraId="5216283E"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0D3C4D85"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Expertise France (EF) est une agence publique créée le 1er janvier 2015. Elle a intégré le Groupe Agence française de développement (AFD) le 1er janvier 2022. EF </w:t>
      </w:r>
      <w:r>
        <w:rPr>
          <w:rFonts w:asciiTheme="minorHAnsi" w:hAnsiTheme="minorHAnsi" w:cstheme="minorHAnsi"/>
          <w:sz w:val="20"/>
          <w:szCs w:val="20"/>
        </w:rPr>
        <w:t xml:space="preserve">propose de l’ingénierie de programmes et de l’assistance technique en développant et en mettant en œuvre des actions de coopération internationale à travers le monde. Expertise France est l’agence publique française de coopération technique internationale.</w:t>
      </w:r>
      <w:r>
        <w:rPr>
          <w:rFonts w:asciiTheme="minorHAnsi" w:hAnsiTheme="minorHAnsi" w:cstheme="minorHAnsi"/>
          <w:sz w:val="20"/>
          <w:szCs w:val="20"/>
        </w:rPr>
      </w:r>
    </w:p>
    <w:p w14:paraId="5D769732"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99335A1"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b/>
          <w:bCs/>
          <w:sz w:val="20"/>
          <w:szCs w:val="20"/>
        </w:rPr>
        <w:t xml:space="preserve">Projet </w:t>
      </w:r>
      <w:r>
        <w:rPr>
          <w:rFonts w:asciiTheme="minorHAnsi" w:hAnsiTheme="minorHAnsi" w:cstheme="minorHAnsi"/>
          <w:sz w:val="20"/>
          <w:szCs w:val="20"/>
        </w:rPr>
        <w:t xml:space="preserve">: Réforme de l’administration publique</w:t>
      </w:r>
      <w:r>
        <w:rPr>
          <w:rFonts w:asciiTheme="minorHAnsi" w:hAnsiTheme="minorHAnsi" w:cstheme="minorHAnsi"/>
          <w:sz w:val="20"/>
          <w:szCs w:val="20"/>
        </w:rPr>
      </w:r>
    </w:p>
    <w:p w14:paraId="0F7D1A83"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4D6ECFD5"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Depuis 2019, le Liban fait face à l’une des pires crises économiques au monde depuis le mi</w:t>
      </w:r>
      <w:r>
        <w:rPr>
          <w:rFonts w:asciiTheme="minorHAnsi" w:hAnsiTheme="minorHAnsi" w:cstheme="minorHAnsi"/>
          <w:sz w:val="20"/>
          <w:szCs w:val="20"/>
        </w:rPr>
        <w:t xml:space="preserve">lieu du XIXe siècle, selon la Banque mondiale. Deux événements majeurs en ont intensifié l’impact : la pandémie de COVID-19 et l’explosion du port de Beyrouth en 2020. À mesure que la situation financière et économique se dégrade, l’effondrement est percep</w:t>
      </w:r>
      <w:r>
        <w:rPr>
          <w:rFonts w:asciiTheme="minorHAnsi" w:hAnsiTheme="minorHAnsi" w:cstheme="minorHAnsi"/>
          <w:sz w:val="20"/>
          <w:szCs w:val="20"/>
        </w:rPr>
        <w:t xml:space="preserve">tible dans tous les aspects du pays, de la disponibilité des services publics au fonctionnement des administrations. Pour comprendre l’ampleur de cette dégradation, il convient de considérer plusieurs faits clés qui illustrent la nouvelle réalité du Liban.</w:t>
      </w:r>
      <w:r>
        <w:rPr>
          <w:rFonts w:asciiTheme="minorHAnsi" w:hAnsiTheme="minorHAnsi" w:cstheme="minorHAnsi"/>
          <w:sz w:val="20"/>
          <w:szCs w:val="20"/>
        </w:rPr>
      </w:r>
    </w:p>
    <w:p w14:paraId="2F27F9B8"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BA3CB6E"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Le Liban traverse également depuis plusieurs années des crises politiques et économiques. Le pays dispose d’un s</w:t>
      </w:r>
      <w:r>
        <w:rPr>
          <w:rFonts w:asciiTheme="minorHAnsi" w:hAnsiTheme="minorHAnsi" w:cstheme="minorHAnsi"/>
          <w:sz w:val="20"/>
          <w:szCs w:val="20"/>
        </w:rPr>
        <w:t xml:space="preserve">ystème politique complexe fondé sur un partage du pouvoir entre ses différentes communautés religieuses. Toutefois, ce système a engendré des blocages politiques, de la corruption et un déficit de redevabilité, entraînant une détérioration de la situation </w:t>
      </w:r>
      <w:r>
        <w:rPr>
          <w:rFonts w:asciiTheme="minorHAnsi" w:hAnsiTheme="minorHAnsi" w:cstheme="minorHAnsi"/>
          <w:sz w:val="20"/>
          <w:szCs w:val="20"/>
        </w:rPr>
        <w:t xml:space="preserve">économique et des troubles sociaux. L’impasse politique au Liban se traduit par l’incapacité récurrente des dirigeants à former un gouvernement pleinement opérationnel. Ces blocages se sont répétés, persistant durant plusieurs mois, voire plusieurs années.</w:t>
      </w:r>
      <w:r>
        <w:rPr>
          <w:rFonts w:asciiTheme="minorHAnsi" w:hAnsiTheme="minorHAnsi" w:cstheme="minorHAnsi"/>
          <w:sz w:val="20"/>
          <w:szCs w:val="20"/>
        </w:rPr>
      </w:r>
    </w:p>
    <w:p w14:paraId="45C00EA8"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3FF18BF"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La détérioration du contexte national </w:t>
      </w:r>
      <w:r>
        <w:rPr>
          <w:rFonts w:asciiTheme="minorHAnsi" w:hAnsiTheme="minorHAnsi" w:cstheme="minorHAnsi"/>
          <w:sz w:val="20"/>
          <w:szCs w:val="20"/>
        </w:rPr>
        <w:t xml:space="preserve">a</w:t>
      </w:r>
      <w:r>
        <w:rPr>
          <w:rFonts w:asciiTheme="minorHAnsi" w:hAnsiTheme="minorHAnsi" w:cstheme="minorHAnsi"/>
          <w:sz w:val="20"/>
          <w:szCs w:val="20"/>
        </w:rPr>
        <w:t xml:space="preserve"> de lourdes conséquences</w:t>
      </w:r>
      <w:r>
        <w:rPr>
          <w:rFonts w:asciiTheme="minorHAnsi" w:hAnsiTheme="minorHAnsi" w:cstheme="minorHAnsi"/>
          <w:sz w:val="20"/>
          <w:szCs w:val="20"/>
        </w:rPr>
        <w:t xml:space="preserve"> sur l’ensemble des secteurs, les administrations publiques libanaises étant parmi les plus touchées en raison de la réduction des fonds publics disponibles. Cela a affecté le cœur même des services publics et le fonctionnement de base des administrations.</w:t>
      </w:r>
      <w:r>
        <w:rPr>
          <w:rFonts w:asciiTheme="minorHAnsi" w:hAnsiTheme="minorHAnsi" w:cstheme="minorHAnsi"/>
          <w:sz w:val="20"/>
          <w:szCs w:val="20"/>
        </w:rPr>
      </w:r>
    </w:p>
    <w:p w14:paraId="1C654FCD"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5B31B0D"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Un nouveau programme d’action de l’Union européenne a débuté en décembre 2023 afin de soutenir les progrès dans des d</w:t>
      </w:r>
      <w:r>
        <w:rPr>
          <w:rFonts w:asciiTheme="minorHAnsi" w:hAnsiTheme="minorHAnsi" w:cstheme="minorHAnsi"/>
          <w:sz w:val="20"/>
          <w:szCs w:val="20"/>
        </w:rPr>
        <w:t xml:space="preserve">omaines clés de la réforme de l’administration publique au Liban, en renforçant l’intégrité, la transparence et la redevabilité de l’administration publique, conformément aux principes d’une administration moderne. Il s’articule autour de trois résultats :</w:t>
      </w:r>
      <w:r>
        <w:rPr>
          <w:rFonts w:asciiTheme="minorHAnsi" w:hAnsiTheme="minorHAnsi" w:cstheme="minorHAnsi"/>
          <w:sz w:val="20"/>
          <w:szCs w:val="20"/>
        </w:rPr>
      </w:r>
    </w:p>
    <w:p w14:paraId="7321A8AC"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D50BE80"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Préserver l’intégrité de l’administration publique, notamment dans le domaine de la gestion des ressources humaines publiques (réforme de la fonction publique) ;</w:t>
      </w:r>
      <w:r>
        <w:rPr>
          <w:rFonts w:asciiTheme="minorHAnsi" w:hAnsiTheme="minorHAnsi" w:cstheme="minorHAnsi"/>
          <w:sz w:val="20"/>
          <w:szCs w:val="20"/>
        </w:rPr>
      </w:r>
    </w:p>
    <w:p w14:paraId="4DA9239E"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CC84C9F"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Renforcer la transparence des systèmes administratifs, notamment dans le domaine des marchés publics aux niveaux central et local (réforme de la gestion des finances publiques) ainsi que l’accès à l’information publique (redevabilité) ;</w:t>
      </w:r>
      <w:r>
        <w:rPr>
          <w:rFonts w:asciiTheme="minorHAnsi" w:hAnsiTheme="minorHAnsi" w:cstheme="minorHAnsi"/>
          <w:sz w:val="20"/>
          <w:szCs w:val="20"/>
        </w:rPr>
      </w:r>
    </w:p>
    <w:p w14:paraId="5B306300"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A52DEEC"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Renforcer la redevabilité</w:t>
      </w:r>
      <w:r>
        <w:rPr>
          <w:rFonts w:asciiTheme="minorHAnsi" w:hAnsiTheme="minorHAnsi" w:cstheme="minorHAnsi"/>
          <w:sz w:val="20"/>
          <w:szCs w:val="20"/>
        </w:rPr>
        <w:t xml:space="preserve"> de l’administration en consolidant le rôle des principaux organes de contrôle (Inspection centrale, Cour des comptes et Commission nationale de lutte contre la corruption) dans la mise en œuvre des réformes, la lutte contre la corruption et sa prévention.</w:t>
      </w:r>
      <w:r>
        <w:rPr>
          <w:rFonts w:asciiTheme="minorHAnsi" w:hAnsiTheme="minorHAnsi" w:cstheme="minorHAnsi"/>
          <w:sz w:val="20"/>
          <w:szCs w:val="20"/>
        </w:rPr>
      </w:r>
    </w:p>
    <w:p w14:paraId="083F0178"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4280420" w14:textId="16CBFA78">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Les produits attendus contribuant au résultat 3 relatif au renforcement des organes de contrôle sont les </w:t>
      </w:r>
      <w:r>
        <w:rPr>
          <w:rFonts w:asciiTheme="minorHAnsi" w:hAnsiTheme="minorHAnsi" w:cstheme="minorHAnsi"/>
          <w:sz w:val="20"/>
          <w:szCs w:val="20"/>
        </w:rPr>
        <w:t xml:space="preserve">suivants:</w:t>
      </w:r>
      <w:r>
        <w:rPr>
          <w:rFonts w:asciiTheme="minorHAnsi" w:hAnsiTheme="minorHAnsi" w:cstheme="minorHAnsi"/>
          <w:sz w:val="20"/>
          <w:szCs w:val="20"/>
        </w:rPr>
      </w:r>
    </w:p>
    <w:p w14:paraId="3E332DEB"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4C757899" w14:textId="07017FC6">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3.1 L’Inspection centrale modernisée et sa capacité à lutter contre la corruption et à la prévenir renforcée ;</w:t>
      </w:r>
      <w:r>
        <w:rPr>
          <w:rFonts w:asciiTheme="minorHAnsi" w:hAnsiTheme="minorHAnsi" w:cstheme="minorHAnsi"/>
          <w:sz w:val="20"/>
          <w:szCs w:val="20"/>
        </w:rPr>
      </w:r>
    </w:p>
    <w:p w14:paraId="51A05275"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3.2 La Cour des comptes modernisée et sa capacité à lutter contre la corruption et à la prévenir renforcée ;</w:t>
      </w:r>
      <w:r>
        <w:rPr>
          <w:rFonts w:asciiTheme="minorHAnsi" w:hAnsiTheme="minorHAnsi" w:cstheme="minorHAnsi"/>
          <w:sz w:val="20"/>
          <w:szCs w:val="20"/>
        </w:rPr>
      </w:r>
    </w:p>
    <w:p w14:paraId="0E883A48"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3.3 La Commission nationale de lutte contre la corruption établie et sa capacité à détecter et prévenir la corruption renforcée ;</w:t>
      </w:r>
      <w:r>
        <w:rPr>
          <w:rFonts w:asciiTheme="minorHAnsi" w:hAnsiTheme="minorHAnsi" w:cstheme="minorHAnsi"/>
          <w:sz w:val="20"/>
          <w:szCs w:val="20"/>
        </w:rPr>
      </w:r>
    </w:p>
    <w:p w14:paraId="1B30A597"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3.4 La coordination et la coopération entre les organes de contrôle ainsi qu’avec les organisations de la société civile (OSC) renforcées, et leur efficacité institutionnalisée.</w:t>
      </w:r>
      <w:r>
        <w:rPr>
          <w:rFonts w:asciiTheme="minorHAnsi" w:hAnsiTheme="minorHAnsi" w:cstheme="minorHAnsi"/>
          <w:sz w:val="20"/>
          <w:szCs w:val="20"/>
        </w:rPr>
      </w:r>
    </w:p>
    <w:p w14:paraId="344D45A2"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13751F09"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En raison de la crise financière, la quasi-totalité des entités gouvernementales libanai</w:t>
      </w:r>
      <w:r>
        <w:rPr>
          <w:rFonts w:asciiTheme="minorHAnsi" w:hAnsiTheme="minorHAnsi" w:cstheme="minorHAnsi"/>
          <w:sz w:val="20"/>
          <w:szCs w:val="20"/>
        </w:rPr>
        <w:t xml:space="preserve">ses a subi des réductions budgétaires ayant affecté négativement leur capacité de dépense. Les difficultés se sont accrues avec la crise financière et le blocage politique, laissant la plupart des administrations publiques dans un besoin urgent de soutien.</w:t>
      </w:r>
      <w:r>
        <w:rPr>
          <w:rFonts w:asciiTheme="minorHAnsi" w:hAnsiTheme="minorHAnsi" w:cstheme="minorHAnsi"/>
          <w:sz w:val="20"/>
          <w:szCs w:val="20"/>
        </w:rPr>
      </w:r>
    </w:p>
    <w:p w14:paraId="0F34652E"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81A3F12"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L’Inspectio</w:t>
      </w:r>
      <w:r>
        <w:rPr>
          <w:rFonts w:asciiTheme="minorHAnsi" w:hAnsiTheme="minorHAnsi" w:cstheme="minorHAnsi"/>
          <w:sz w:val="20"/>
          <w:szCs w:val="20"/>
        </w:rPr>
        <w:t xml:space="preserve">n centrale joue un rôle central parmi les organes de contrôle au service du pouvoir exécutif. Elle exerce ses prérogatives sur l’ensemble du territoire libanais afin de détecter toute violation des lois et règlements en vigueur. Elle fournit également des </w:t>
      </w:r>
      <w:r>
        <w:rPr>
          <w:rFonts w:asciiTheme="minorHAnsi" w:hAnsiTheme="minorHAnsi" w:cstheme="minorHAnsi"/>
          <w:sz w:val="20"/>
          <w:szCs w:val="20"/>
        </w:rPr>
        <w:t xml:space="preserve">orientations, des conseils et des recommandations visant à améliorer les processus administratifs et à coordonner les opérations conjointes entre administrations publiques. À ce titre, l’Inspection centrale constitue une autorité de réforme administrative.</w:t>
      </w:r>
      <w:r>
        <w:rPr>
          <w:rFonts w:asciiTheme="minorHAnsi" w:hAnsiTheme="minorHAnsi" w:cstheme="minorHAnsi"/>
          <w:sz w:val="20"/>
          <w:szCs w:val="20"/>
        </w:rPr>
      </w:r>
    </w:p>
    <w:p w14:paraId="51F27991"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5E2E9C52"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L’article 2 du décret législatif n° 115/59 (création de l’Inspection centrale) définit ses principales missions comme suit :</w:t>
      </w:r>
      <w:r>
        <w:rPr>
          <w:rFonts w:asciiTheme="minorHAnsi" w:hAnsiTheme="minorHAnsi" w:cstheme="minorHAnsi"/>
          <w:sz w:val="20"/>
          <w:szCs w:val="20"/>
        </w:rPr>
      </w:r>
    </w:p>
    <w:p w14:paraId="3D2FDE2A" w14:textId="77777777">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06ACC11" w14:textId="77777777">
      <w:pPr>
        <w:pStyle w:val="1017"/>
        <w:numPr>
          <w:ilvl w:val="0"/>
          <w:numId w:val="30"/>
        </w:numPr>
        <w:pBdr/>
        <w:spacing w:after="200" w:line="276" w:lineRule="auto"/>
        <w:ind w:hanging="90"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Contrôler les administrations et institutions publiques ainsi que les municipalités à travers différents types d’inspections ;</w:t>
      </w:r>
      <w:r>
        <w:rPr>
          <w:rFonts w:asciiTheme="minorHAnsi" w:hAnsiTheme="minorHAnsi" w:cstheme="minorHAnsi"/>
          <w:sz w:val="20"/>
          <w:szCs w:val="20"/>
        </w:rPr>
      </w:r>
    </w:p>
    <w:p w14:paraId="0FD9D929" w14:textId="77777777">
      <w:pPr>
        <w:pStyle w:val="1017"/>
        <w:numPr>
          <w:ilvl w:val="0"/>
          <w:numId w:val="30"/>
        </w:numPr>
        <w:pBdr/>
        <w:spacing w:after="200" w:line="276" w:lineRule="auto"/>
        <w:ind w:hanging="90"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Œuvrer à l’amélioration des processus administratifs ;</w:t>
      </w:r>
      <w:r>
        <w:rPr>
          <w:rFonts w:asciiTheme="minorHAnsi" w:hAnsiTheme="minorHAnsi" w:cstheme="minorHAnsi"/>
          <w:sz w:val="20"/>
          <w:szCs w:val="20"/>
        </w:rPr>
      </w:r>
    </w:p>
    <w:p w14:paraId="6B4C86CB" w14:textId="77777777">
      <w:pPr>
        <w:pStyle w:val="1017"/>
        <w:numPr>
          <w:ilvl w:val="0"/>
          <w:numId w:val="30"/>
        </w:numPr>
        <w:pBdr/>
        <w:spacing w:after="200" w:line="276" w:lineRule="auto"/>
        <w:ind w:hanging="90"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Fournir des avis aux autorités administratives, de manière volontaire ou à leur demande ;</w:t>
      </w:r>
      <w:r>
        <w:rPr>
          <w:rFonts w:asciiTheme="minorHAnsi" w:hAnsiTheme="minorHAnsi" w:cstheme="minorHAnsi"/>
          <w:sz w:val="20"/>
          <w:szCs w:val="20"/>
        </w:rPr>
      </w:r>
    </w:p>
    <w:p w14:paraId="21F0C711" w14:textId="77777777">
      <w:pPr>
        <w:pStyle w:val="1017"/>
        <w:numPr>
          <w:ilvl w:val="0"/>
          <w:numId w:val="30"/>
        </w:numPr>
        <w:pBdr/>
        <w:spacing w:after="200" w:line="276" w:lineRule="auto"/>
        <w:ind w:hanging="90"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Coordonner les opérations conjointes entre différentes administrations publiques ;</w:t>
      </w:r>
      <w:r>
        <w:rPr>
          <w:rFonts w:asciiTheme="minorHAnsi" w:hAnsiTheme="minorHAnsi" w:cstheme="minorHAnsi"/>
          <w:sz w:val="20"/>
          <w:szCs w:val="20"/>
        </w:rPr>
      </w:r>
    </w:p>
    <w:p w14:paraId="242CD0E1" w14:textId="2DDD5398">
      <w:pPr>
        <w:pStyle w:val="1017"/>
        <w:numPr>
          <w:ilvl w:val="0"/>
          <w:numId w:val="30"/>
        </w:numPr>
        <w:pBdr/>
        <w:spacing w:after="200" w:line="276" w:lineRule="auto"/>
        <w:ind w:hanging="90"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Réaliser les études, enquêtes et missions qui lui sont confiées par les autorités compétentes.</w:t>
      </w:r>
      <w:r>
        <w:rPr>
          <w:rFonts w:asciiTheme="minorHAnsi" w:hAnsiTheme="minorHAnsi" w:cstheme="minorHAnsi"/>
          <w:sz w:val="20"/>
          <w:szCs w:val="20"/>
        </w:rPr>
      </w:r>
    </w:p>
    <w:p w14:paraId="0A1CED84" w14:textId="572BE071">
      <w:pPr>
        <w:pStyle w:val="1017"/>
        <w:pBdr/>
        <w:spacing w:after="200" w:line="276" w:lineRule="auto"/>
        <w:ind w:left="-90"/>
        <w:contextualSpacing w:val="true"/>
        <w:jc w:val="both"/>
        <w:rPr>
          <w:rFonts w:asciiTheme="minorHAnsi" w:hAnsiTheme="minorHAnsi" w:cstheme="minorHAnsi"/>
          <w:sz w:val="20"/>
          <w:szCs w:val="20"/>
        </w:rPr>
      </w:pPr>
      <w:r>
        <w:rPr>
          <w:rFonts w:asciiTheme="minorHAnsi" w:hAnsiTheme="minorHAnsi" w:cstheme="minorHAnsi"/>
          <w:sz w:val="20"/>
          <w:szCs w:val="20"/>
        </w:rPr>
        <w:t xml:space="preserve">Le projet vise à fournir des infrastructures adaptées à l’Inspection centrale en réalisant les travaux de rénovation nécessaires afin de réhabiliter une </w:t>
      </w:r>
      <w:r>
        <w:rPr>
          <w:rFonts w:asciiTheme="minorHAnsi" w:hAnsiTheme="minorHAnsi" w:cstheme="minorHAnsi"/>
          <w:sz w:val="20"/>
          <w:szCs w:val="20"/>
        </w:rPr>
        <w:t xml:space="preserve">salle de réunion et de créer un espace fonctionnel. Cet aménagement permettra à l’Inspection centrale de disposer d’un environnement propice à une collaboration efficace et à une prise de décision optimale, favorisant ainsi la productivité et l’efficience.</w:t>
      </w:r>
      <w:r>
        <w:rPr>
          <w:rFonts w:asciiTheme="minorHAnsi" w:hAnsiTheme="minorHAnsi" w:cstheme="minorHAnsi"/>
          <w:sz w:val="20"/>
          <w:szCs w:val="20"/>
        </w:rPr>
      </w:r>
    </w:p>
    <w:p w14:paraId="5BDC986F" w14:textId="77777777">
      <w:pPr>
        <w:pBdr/>
        <w:spacing/>
        <w:ind/>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38D0CCF7" w14:textId="6B27F7C9">
      <w:pPr>
        <w:numPr>
          <w:ilvl w:val="0"/>
          <w:numId w:val="1"/>
        </w:numPr>
        <w:pBdr/>
        <w:shd w:val="clear" w:color="auto" w:fill="e6e6e6"/>
        <w:tabs>
          <w:tab w:val="num" w:leader="none" w:pos="180"/>
          <w:tab w:val="clear" w:leader="none" w:pos="720"/>
        </w:tabs>
        <w:spacing/>
        <w:ind w:left="180"/>
        <w:rPr>
          <w:rFonts w:eastAsia="Arial Unicode MS" w:asciiTheme="minorHAnsi" w:hAnsiTheme="minorHAnsi" w:cstheme="minorHAnsi"/>
          <w:b/>
          <w:sz w:val="20"/>
          <w:szCs w:val="20"/>
        </w:rPr>
      </w:pPr>
      <w:r>
        <w:rPr>
          <w:rFonts w:eastAsia="Arial Unicode MS" w:asciiTheme="minorHAnsi" w:hAnsiTheme="minorHAnsi" w:cstheme="minorHAnsi"/>
          <w:b/>
          <w:bCs/>
          <w:sz w:val="20"/>
          <w:szCs w:val="20"/>
        </w:rPr>
        <w:t xml:space="preserve">Objectifs et résultats attendus</w:t>
      </w:r>
      <w:r>
        <w:rPr>
          <w:rFonts w:eastAsia="Arial Unicode MS" w:asciiTheme="minorHAnsi" w:hAnsiTheme="minorHAnsi" w:cstheme="minorHAnsi"/>
          <w:b/>
          <w:sz w:val="20"/>
          <w:szCs w:val="20"/>
        </w:rPr>
      </w:r>
    </w:p>
    <w:p w14:paraId="3E9B7C89" w14:textId="77777777">
      <w:pPr>
        <w:pBdr/>
        <w:spacing w:after="100" w:afterAutospacing="1" w:before="100" w:beforeAutospacing="1"/>
        <w:ind/>
        <w:outlineLvl w:val="3"/>
        <w:rPr>
          <w:rFonts w:asciiTheme="minorHAnsi" w:hAnsiTheme="minorHAnsi" w:cstheme="minorHAnsi"/>
          <w:b/>
          <w:bCs/>
          <w:sz w:val="20"/>
          <w:szCs w:val="20"/>
        </w:rPr>
      </w:pPr>
      <w:r>
        <w:rPr>
          <w:rFonts w:asciiTheme="minorHAnsi" w:hAnsiTheme="minorHAnsi" w:cstheme="minorHAnsi"/>
          <w:b/>
          <w:bCs/>
          <w:sz w:val="20"/>
          <w:szCs w:val="20"/>
        </w:rPr>
        <w:t xml:space="preserve">1) Objectif général</w:t>
      </w:r>
      <w:r>
        <w:rPr>
          <w:rFonts w:asciiTheme="minorHAnsi" w:hAnsiTheme="minorHAnsi" w:cstheme="minorHAnsi"/>
          <w:b/>
          <w:bCs/>
          <w:sz w:val="20"/>
          <w:szCs w:val="20"/>
        </w:rPr>
      </w:r>
    </w:p>
    <w:p w14:paraId="6E05642A" w14:textId="77777777">
      <w:p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L’objectif de la mission est de réaliser des travaux de rénovation en vue de l’aménagement d’une salle de réunion au sein des locaux de l’Inspection centrale.</w:t>
      </w:r>
      <w:r>
        <w:rPr>
          <w:rFonts w:asciiTheme="minorHAnsi" w:hAnsiTheme="minorHAnsi" w:cstheme="minorHAnsi"/>
          <w:sz w:val="20"/>
          <w:szCs w:val="20"/>
        </w:rPr>
      </w:r>
    </w:p>
    <w:p w14:paraId="5FE09BA3" w14:textId="77777777">
      <w:pPr>
        <w:pBdr/>
        <w:spacing w:after="100" w:afterAutospacing="1" w:before="100" w:beforeAutospacing="1"/>
        <w:ind/>
        <w:outlineLvl w:val="3"/>
        <w:rPr>
          <w:rFonts w:asciiTheme="minorHAnsi" w:hAnsiTheme="minorHAnsi" w:cstheme="minorHAnsi"/>
          <w:b/>
          <w:bCs/>
          <w:sz w:val="20"/>
          <w:szCs w:val="20"/>
        </w:rPr>
      </w:pPr>
      <w:r>
        <w:rPr>
          <w:rFonts w:asciiTheme="minorHAnsi" w:hAnsiTheme="minorHAnsi" w:cstheme="minorHAnsi"/>
          <w:b/>
          <w:bCs/>
          <w:sz w:val="20"/>
          <w:szCs w:val="20"/>
        </w:rPr>
        <w:t xml:space="preserve">2) Objectifs spécifiques</w:t>
      </w:r>
      <w:r>
        <w:rPr>
          <w:rFonts w:asciiTheme="minorHAnsi" w:hAnsiTheme="minorHAnsi" w:cstheme="minorHAnsi"/>
          <w:b/>
          <w:bCs/>
          <w:sz w:val="20"/>
          <w:szCs w:val="20"/>
        </w:rPr>
      </w:r>
    </w:p>
    <w:p w14:paraId="46BFAA22" w14:textId="77777777">
      <w:p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Sous la supervision de l’équipe d’Expertise France et en coordination avec l’équipe de l’Inspection centrale (CI), le prestataire de services devra réaliser les tâches suivantes :</w:t>
      </w:r>
      <w:r>
        <w:rPr>
          <w:rFonts w:asciiTheme="minorHAnsi" w:hAnsiTheme="minorHAnsi" w:cstheme="minorHAnsi"/>
          <w:sz w:val="20"/>
          <w:szCs w:val="20"/>
        </w:rPr>
      </w:r>
    </w:p>
    <w:p w14:paraId="41EEC619"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Exécuter les travaux de démolition nécessaires à la rénovation. Cette tâche devra être précédée du déplacement du mobilier existant vers les emplacements désignés afin de préparer la salle aux travaux prévus.</w:t>
      </w:r>
      <w:r>
        <w:rPr>
          <w:rFonts w:asciiTheme="minorHAnsi" w:hAnsiTheme="minorHAnsi" w:cstheme="minorHAnsi"/>
          <w:sz w:val="20"/>
          <w:szCs w:val="20"/>
        </w:rPr>
      </w:r>
    </w:p>
    <w:p w14:paraId="00328E91"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Effectuer la peinture des zones sélectionnées.</w:t>
      </w:r>
      <w:r>
        <w:rPr>
          <w:rFonts w:asciiTheme="minorHAnsi" w:hAnsiTheme="minorHAnsi" w:cstheme="minorHAnsi"/>
          <w:sz w:val="20"/>
          <w:szCs w:val="20"/>
        </w:rPr>
      </w:r>
    </w:p>
    <w:p w14:paraId="2E941037"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Assurer la maintenance et/ou l’amélioration de l’éclairage afin de garantir une meilleure visibilité et une ambiance adaptée.</w:t>
      </w:r>
      <w:r>
        <w:rPr>
          <w:rFonts w:asciiTheme="minorHAnsi" w:hAnsiTheme="minorHAnsi" w:cstheme="minorHAnsi"/>
          <w:sz w:val="20"/>
          <w:szCs w:val="20"/>
        </w:rPr>
      </w:r>
    </w:p>
    <w:p w14:paraId="013EE906"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Fournir et installer un écran de projection, un projecteur ainsi qu’un système de sonorisation adapté.</w:t>
      </w:r>
      <w:r>
        <w:rPr>
          <w:rFonts w:asciiTheme="minorHAnsi" w:hAnsiTheme="minorHAnsi" w:cstheme="minorHAnsi"/>
          <w:sz w:val="20"/>
          <w:szCs w:val="20"/>
        </w:rPr>
      </w:r>
    </w:p>
    <w:p w14:paraId="657E4147"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Mettre en œuvre les installations de chauffage, ventilation et climatisation (CVC).</w:t>
      </w:r>
      <w:r>
        <w:rPr>
          <w:rFonts w:asciiTheme="minorHAnsi" w:hAnsiTheme="minorHAnsi" w:cstheme="minorHAnsi"/>
          <w:sz w:val="20"/>
          <w:szCs w:val="20"/>
        </w:rPr>
      </w:r>
    </w:p>
    <w:p w14:paraId="379B202E"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Réaliser les travaux de plomberie nécessaires.</w:t>
      </w:r>
      <w:r>
        <w:rPr>
          <w:rFonts w:asciiTheme="minorHAnsi" w:hAnsiTheme="minorHAnsi" w:cstheme="minorHAnsi"/>
          <w:sz w:val="20"/>
          <w:szCs w:val="20"/>
        </w:rPr>
      </w:r>
    </w:p>
    <w:p w14:paraId="552E4C6B" w14:textId="77777777">
      <w:pPr>
        <w:pStyle w:val="1016"/>
        <w:numPr>
          <w:ilvl w:val="0"/>
          <w:numId w:val="34"/>
        </w:num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Procéder à l’installation et à la maintenance des portes.</w:t>
      </w:r>
      <w:r>
        <w:rPr>
          <w:rFonts w:asciiTheme="minorHAnsi" w:hAnsiTheme="minorHAnsi" w:cstheme="minorHAnsi"/>
          <w:sz w:val="20"/>
          <w:szCs w:val="20"/>
        </w:rPr>
      </w:r>
    </w:p>
    <w:p w14:paraId="6C367830" w14:textId="77777777">
      <w:pPr>
        <w:pBdr/>
        <w:spacing w:after="100" w:afterAutospacing="1" w:before="100" w:beforeAutospacing="1"/>
        <w:ind/>
        <w:outlineLvl w:val="3"/>
        <w:rPr>
          <w:rFonts w:asciiTheme="minorHAnsi" w:hAnsiTheme="minorHAnsi" w:cstheme="minorHAnsi"/>
          <w:b/>
          <w:bCs/>
          <w:sz w:val="20"/>
          <w:szCs w:val="20"/>
        </w:rPr>
      </w:pPr>
      <w:r>
        <w:rPr>
          <w:rFonts w:asciiTheme="minorHAnsi" w:hAnsiTheme="minorHAnsi" w:cstheme="minorHAnsi"/>
          <w:b/>
          <w:bCs/>
          <w:sz w:val="20"/>
          <w:szCs w:val="20"/>
        </w:rPr>
        <w:t xml:space="preserve">3) Résultats attendus</w:t>
      </w:r>
      <w:r>
        <w:rPr>
          <w:rFonts w:asciiTheme="minorHAnsi" w:hAnsiTheme="minorHAnsi" w:cstheme="minorHAnsi"/>
          <w:b/>
          <w:bCs/>
          <w:sz w:val="20"/>
          <w:szCs w:val="20"/>
        </w:rPr>
      </w:r>
    </w:p>
    <w:p w14:paraId="7EB79EF0" w14:textId="74FEB476">
      <w:pPr>
        <w:pBdr/>
        <w:spacing w:after="100" w:afterAutospacing="1" w:before="100" w:beforeAutospacing="1"/>
        <w:ind/>
        <w:rPr>
          <w:rFonts w:asciiTheme="minorHAnsi" w:hAnsiTheme="minorHAnsi" w:cstheme="minorHAnsi"/>
          <w:sz w:val="20"/>
          <w:szCs w:val="20"/>
        </w:rPr>
      </w:pPr>
      <w:r>
        <w:rPr>
          <w:rFonts w:asciiTheme="minorHAnsi" w:hAnsiTheme="minorHAnsi" w:cstheme="minorHAnsi"/>
          <w:sz w:val="20"/>
          <w:szCs w:val="20"/>
        </w:rPr>
        <w:t xml:space="preserve">La salle de réunion de l’Inspection centrale est rénovée et équipée de manière adéquate.</w:t>
      </w:r>
      <w:r>
        <w:rPr>
          <w:rFonts w:asciiTheme="minorHAnsi" w:hAnsiTheme="minorHAnsi" w:cstheme="minorHAnsi"/>
          <w:sz w:val="20"/>
          <w:szCs w:val="20"/>
        </w:rPr>
      </w:r>
    </w:p>
    <w:p w14:paraId="655954D9" w14:textId="77777777">
      <w:pPr>
        <w:pBdr/>
        <w:spacing/>
        <w:ind/>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F18E5D2" w14:textId="57179D02">
      <w:pPr>
        <w:numPr>
          <w:ilvl w:val="0"/>
          <w:numId w:val="1"/>
        </w:numPr>
        <w:pBdr/>
        <w:shd w:val="clear" w:color="auto" w:fill="e6e6e6"/>
        <w:tabs>
          <w:tab w:val="num" w:leader="none" w:pos="180"/>
          <w:tab w:val="clear" w:leader="none" w:pos="720"/>
        </w:tabs>
        <w:spacing/>
        <w:ind w:left="180"/>
        <w:rPr>
          <w:rFonts w:eastAsia="Arial Unicode MS" w:asciiTheme="minorHAnsi" w:hAnsiTheme="minorHAnsi" w:cstheme="minorHAnsi"/>
          <w:b/>
          <w:sz w:val="20"/>
          <w:szCs w:val="20"/>
        </w:rPr>
      </w:pPr>
      <w:r>
        <w:rPr>
          <w:rFonts w:eastAsia="Arial Unicode MS" w:asciiTheme="minorHAnsi" w:hAnsiTheme="minorHAnsi" w:cstheme="minorHAnsi"/>
          <w:b/>
          <w:bCs/>
          <w:sz w:val="20"/>
          <w:szCs w:val="20"/>
        </w:rPr>
        <w:t xml:space="preserve">Description de la mission</w:t>
      </w:r>
      <w:r>
        <w:rPr>
          <w:rFonts w:eastAsia="Arial Unicode MS" w:asciiTheme="minorHAnsi" w:hAnsiTheme="minorHAnsi" w:cstheme="minorHAnsi"/>
          <w:b/>
          <w:sz w:val="20"/>
          <w:szCs w:val="20"/>
        </w:rPr>
      </w:r>
    </w:p>
    <w:p w14:paraId="69356CB9" w14:textId="77777777">
      <w:pPr>
        <w:pBdr/>
        <w:spacing/>
        <w:ind/>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353CD45"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1) Activités prévues</w:t>
      </w:r>
      <w:r>
        <w:rPr>
          <w:rFonts w:eastAsia="Arial Unicode MS" w:asciiTheme="minorHAnsi" w:hAnsiTheme="minorHAnsi" w:cstheme="minorHAnsi"/>
          <w:b/>
          <w:bCs/>
          <w:sz w:val="20"/>
          <w:szCs w:val="20"/>
        </w:rPr>
      </w:r>
    </w:p>
    <w:p w14:paraId="70F6CC5F"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470B5677"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Préparation de la mission</w:t>
      </w:r>
      <w:r>
        <w:rPr>
          <w:rFonts w:eastAsia="Arial Unicode MS" w:asciiTheme="minorHAnsi" w:hAnsiTheme="minorHAnsi" w:cstheme="minorHAnsi"/>
          <w:b/>
          <w:bCs/>
          <w:sz w:val="20"/>
          <w:szCs w:val="20"/>
        </w:rPr>
      </w:r>
    </w:p>
    <w:p w14:paraId="1900FA1C"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5587C6B5" w14:textId="77777777">
      <w:pPr>
        <w:pStyle w:val="1016"/>
        <w:numPr>
          <w:ilvl w:val="0"/>
          <w:numId w:val="35"/>
        </w:numPr>
        <w:pBdr/>
        <w:spacing/>
        <w:ind/>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Examiner la documentation pertinente relative au projet de rénovation.</w:t>
      </w:r>
      <w:r>
        <w:rPr>
          <w:rFonts w:eastAsia="Arial Unicode MS" w:asciiTheme="minorHAnsi" w:hAnsiTheme="minorHAnsi" w:cstheme="minorHAnsi"/>
          <w:sz w:val="20"/>
          <w:szCs w:val="20"/>
        </w:rPr>
      </w:r>
    </w:p>
    <w:p w14:paraId="54DEF2FB"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081C703D"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Phase I : Préparation pré-rénovation</w:t>
      </w:r>
      <w:r>
        <w:rPr>
          <w:rFonts w:eastAsia="Arial Unicode MS" w:asciiTheme="minorHAnsi" w:hAnsiTheme="minorHAnsi" w:cstheme="minorHAnsi"/>
          <w:b/>
          <w:bCs/>
          <w:sz w:val="20"/>
          <w:szCs w:val="20"/>
        </w:rPr>
      </w:r>
    </w:p>
    <w:p w14:paraId="460A7A99"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1B0E2064" w14:textId="77777777">
      <w:pPr>
        <w:pStyle w:val="1016"/>
        <w:numPr>
          <w:ilvl w:val="0"/>
          <w:numId w:val="35"/>
        </w:numPr>
        <w:pBdr/>
        <w:spacing/>
        <w:ind/>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Participer aux réunions initiales de planification ;</w:t>
      </w:r>
      <w:r>
        <w:rPr>
          <w:rFonts w:eastAsia="Arial Unicode MS" w:asciiTheme="minorHAnsi" w:hAnsiTheme="minorHAnsi" w:cstheme="minorHAnsi"/>
          <w:sz w:val="20"/>
          <w:szCs w:val="20"/>
        </w:rPr>
      </w:r>
    </w:p>
    <w:p w14:paraId="1FD3B681" w14:textId="77777777">
      <w:pPr>
        <w:pStyle w:val="1016"/>
        <w:numPr>
          <w:ilvl w:val="0"/>
          <w:numId w:val="35"/>
        </w:numPr>
        <w:pBdr/>
        <w:spacing/>
        <w:ind/>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Procéder à l’acquisition des outils et matériaux nécessaires.</w:t>
      </w:r>
      <w:r>
        <w:rPr>
          <w:rFonts w:eastAsia="Arial Unicode MS" w:asciiTheme="minorHAnsi" w:hAnsiTheme="minorHAnsi" w:cstheme="minorHAnsi"/>
          <w:sz w:val="20"/>
          <w:szCs w:val="20"/>
        </w:rPr>
      </w:r>
    </w:p>
    <w:p w14:paraId="180D3D92"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4EFFC130"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Phase II : Phase de rénovation</w:t>
      </w:r>
      <w:r>
        <w:rPr>
          <w:rFonts w:eastAsia="Arial Unicode MS" w:asciiTheme="minorHAnsi" w:hAnsiTheme="minorHAnsi" w:cstheme="minorHAnsi"/>
          <w:b/>
          <w:bCs/>
          <w:sz w:val="20"/>
          <w:szCs w:val="20"/>
        </w:rPr>
      </w:r>
    </w:p>
    <w:p w14:paraId="44A31C4A" w14:textId="77777777">
      <w:pPr>
        <w:pBdr/>
        <w:spacing/>
        <w:ind/>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32A2691D" w14:textId="208B6EA8">
      <w:pPr>
        <w:pBdr/>
        <w:spacing/>
        <w:ind/>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Réaliser les travaux de rénovation, incluant notamment :</w:t>
      </w:r>
      <w:r>
        <w:rPr>
          <w:rFonts w:eastAsia="Arial Unicode MS" w:asciiTheme="minorHAnsi" w:hAnsiTheme="minorHAnsi" w:cstheme="minorHAnsi"/>
          <w:sz w:val="20"/>
          <w:szCs w:val="20"/>
        </w:rPr>
      </w:r>
    </w:p>
    <w:p w14:paraId="1BA75C8C"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Exécuter les travaux de démolition nécessaires à la rénovation. Cette étape devra être précédée du déplacement du mobilier existant vers les emplacements désignés afin de préparer la salle aux travaux prévus ;</w:t>
      </w:r>
      <w:r>
        <w:rPr>
          <w:rFonts w:eastAsia="Arial Unicode MS" w:asciiTheme="minorHAnsi" w:hAnsiTheme="minorHAnsi" w:cstheme="minorHAnsi"/>
          <w:sz w:val="20"/>
          <w:szCs w:val="20"/>
        </w:rPr>
      </w:r>
    </w:p>
    <w:p w14:paraId="615491B4"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Effectuer la peinture des zones sélectionnées ;</w:t>
      </w:r>
      <w:r>
        <w:rPr>
          <w:rFonts w:eastAsia="Arial Unicode MS" w:asciiTheme="minorHAnsi" w:hAnsiTheme="minorHAnsi" w:cstheme="minorHAnsi"/>
          <w:sz w:val="20"/>
          <w:szCs w:val="20"/>
        </w:rPr>
      </w:r>
    </w:p>
    <w:p w14:paraId="6D7A1046"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Assurer la maintenance et/ou l’amélioration de l’éclairage afin de garantir une meilleure visibilité et une ambiance adaptée ;</w:t>
      </w:r>
      <w:r>
        <w:rPr>
          <w:rFonts w:eastAsia="Arial Unicode MS" w:asciiTheme="minorHAnsi" w:hAnsiTheme="minorHAnsi" w:cstheme="minorHAnsi"/>
          <w:sz w:val="20"/>
          <w:szCs w:val="20"/>
        </w:rPr>
      </w:r>
    </w:p>
    <w:p w14:paraId="6E38FBC2"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Fournir et installer un écran de projection, un projecteur ainsi qu’un système de sonorisation approprié ;</w:t>
      </w:r>
      <w:r>
        <w:rPr>
          <w:rFonts w:eastAsia="Arial Unicode MS" w:asciiTheme="minorHAnsi" w:hAnsiTheme="minorHAnsi" w:cstheme="minorHAnsi"/>
          <w:sz w:val="20"/>
          <w:szCs w:val="20"/>
        </w:rPr>
      </w:r>
    </w:p>
    <w:p w14:paraId="14817780"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Mettre en œuvre les installations de chauffage, ventilation et climatisation (CVC) ;</w:t>
      </w:r>
      <w:r>
        <w:rPr>
          <w:rFonts w:eastAsia="Arial Unicode MS" w:asciiTheme="minorHAnsi" w:hAnsiTheme="minorHAnsi" w:cstheme="minorHAnsi"/>
          <w:sz w:val="20"/>
          <w:szCs w:val="20"/>
        </w:rPr>
      </w:r>
    </w:p>
    <w:p w14:paraId="2C6029F2"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Réaliser les travaux de plomberie nécessaires ;</w:t>
      </w:r>
      <w:r>
        <w:rPr>
          <w:rFonts w:eastAsia="Arial Unicode MS" w:asciiTheme="minorHAnsi" w:hAnsiTheme="minorHAnsi" w:cstheme="minorHAnsi"/>
          <w:sz w:val="20"/>
          <w:szCs w:val="20"/>
        </w:rPr>
      </w:r>
    </w:p>
    <w:p w14:paraId="310C2F32" w14:textId="77777777">
      <w:pPr>
        <w:pStyle w:val="1016"/>
        <w:numPr>
          <w:ilvl w:val="0"/>
          <w:numId w:val="36"/>
        </w:numPr>
        <w:pBdr/>
        <w:spacing/>
        <w:ind w:left="54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Procéder à l’installation et à la maintenance des portes.</w:t>
      </w:r>
      <w:r>
        <w:rPr>
          <w:rFonts w:eastAsia="Arial Unicode MS" w:asciiTheme="minorHAnsi" w:hAnsiTheme="minorHAnsi" w:cstheme="minorHAnsi"/>
          <w:sz w:val="20"/>
          <w:szCs w:val="20"/>
        </w:rPr>
      </w:r>
    </w:p>
    <w:p w14:paraId="3B7B5533" w14:textId="77777777">
      <w:pPr>
        <w:pBdr/>
        <w:spacing/>
        <w:ind w:left="54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05806B0F" w14:textId="77777777">
      <w:pPr>
        <w:pBdr/>
        <w:spacing/>
        <w:ind w:left="54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Phase III : Phase post-rénovation</w:t>
      </w:r>
      <w:r>
        <w:rPr>
          <w:rFonts w:eastAsia="Arial Unicode MS" w:asciiTheme="minorHAnsi" w:hAnsiTheme="minorHAnsi" w:cstheme="minorHAnsi"/>
          <w:b/>
          <w:bCs/>
          <w:sz w:val="20"/>
          <w:szCs w:val="20"/>
        </w:rPr>
      </w:r>
    </w:p>
    <w:p w14:paraId="2A97D6A6" w14:textId="77777777">
      <w:pPr>
        <w:pBdr/>
        <w:spacing/>
        <w:ind w:left="54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1E125AA0" w14:textId="77777777">
      <w:pPr>
        <w:pStyle w:val="1016"/>
        <w:numPr>
          <w:ilvl w:val="0"/>
          <w:numId w:val="37"/>
        </w:numPr>
        <w:pBdr/>
        <w:spacing/>
        <w:ind w:left="540"/>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Assurer un appui continu afin de traiter toute problématique ou réserve éventuelle après les travaux ;</w:t>
      </w:r>
      <w:r>
        <w:rPr>
          <w:rFonts w:eastAsia="Arial Unicode MS" w:asciiTheme="minorHAnsi" w:hAnsiTheme="minorHAnsi" w:cstheme="minorHAnsi"/>
          <w:sz w:val="20"/>
          <w:szCs w:val="20"/>
        </w:rPr>
      </w:r>
    </w:p>
    <w:p w14:paraId="39443A01" w14:textId="77777777">
      <w:pPr>
        <w:pStyle w:val="1016"/>
        <w:numPr>
          <w:ilvl w:val="0"/>
          <w:numId w:val="37"/>
        </w:numPr>
        <w:pBdr/>
        <w:spacing/>
        <w:ind w:left="540"/>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Archiver et soumettre l’ensemble des documents requis pour la clôture du projet et la tenue des dossiers.</w:t>
      </w:r>
      <w:r>
        <w:rPr>
          <w:rFonts w:eastAsia="Arial Unicode MS" w:asciiTheme="minorHAnsi" w:hAnsiTheme="minorHAnsi" w:cstheme="minorHAnsi"/>
          <w:sz w:val="20"/>
          <w:szCs w:val="20"/>
        </w:rPr>
      </w:r>
    </w:p>
    <w:p w14:paraId="09720C70" w14:textId="77777777">
      <w:pPr>
        <w:pBdr/>
        <w:spacing/>
        <w:ind w:left="54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7753D084" w14:textId="77777777">
      <w:pPr>
        <w:pBdr/>
        <w:spacing/>
        <w:ind w:left="54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2) Coordination</w:t>
      </w:r>
      <w:r>
        <w:rPr>
          <w:rFonts w:eastAsia="Arial Unicode MS" w:asciiTheme="minorHAnsi" w:hAnsiTheme="minorHAnsi" w:cstheme="minorHAnsi"/>
          <w:b/>
          <w:bCs/>
          <w:sz w:val="20"/>
          <w:szCs w:val="20"/>
        </w:rPr>
      </w:r>
    </w:p>
    <w:p w14:paraId="6573621E" w14:textId="77777777">
      <w:pPr>
        <w:pBdr/>
        <w:spacing/>
        <w:ind w:left="54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p w14:paraId="16881701" w14:textId="77777777">
      <w:pPr>
        <w:pBdr/>
        <w:spacing/>
        <w:ind w:left="540"/>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Le prestataire désignera un point focal unique pour la mise en œuvre du projet.</w:t>
      </w:r>
      <w:r>
        <w:rPr>
          <w:rFonts w:eastAsia="Arial Unicode MS" w:asciiTheme="minorHAnsi" w:hAnsiTheme="minorHAnsi" w:cstheme="minorHAnsi"/>
          <w:sz w:val="20"/>
          <w:szCs w:val="20"/>
        </w:rPr>
      </w:r>
    </w:p>
    <w:p w14:paraId="7DE74FBC" w14:textId="77777777">
      <w:pPr>
        <w:pBdr/>
        <w:spacing/>
        <w:ind w:left="540"/>
        <w:rPr>
          <w:rFonts w:eastAsia="Arial Unicode MS" w:asciiTheme="minorHAnsi" w:hAnsiTheme="minorHAnsi" w:cstheme="minorHAnsi"/>
          <w:sz w:val="20"/>
          <w:szCs w:val="20"/>
        </w:rPr>
      </w:pPr>
      <w:r>
        <w:rPr>
          <w:rFonts w:eastAsia="Arial Unicode MS" w:asciiTheme="minorHAnsi" w:hAnsiTheme="minorHAnsi" w:cstheme="minorHAnsi"/>
          <w:sz w:val="20"/>
          <w:szCs w:val="20"/>
        </w:rPr>
      </w:r>
      <w:r>
        <w:rPr>
          <w:rFonts w:eastAsia="Arial Unicode MS" w:asciiTheme="minorHAnsi" w:hAnsiTheme="minorHAnsi" w:cstheme="minorHAnsi"/>
          <w:sz w:val="20"/>
          <w:szCs w:val="20"/>
        </w:rPr>
      </w:r>
    </w:p>
    <w:p w14:paraId="2DEADF5A" w14:textId="77777777">
      <w:pPr>
        <w:pBdr/>
        <w:spacing/>
        <w:ind w:left="540"/>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M. Rayan Merheb, du département Achats et Logistique d’Expertise France, sera l’unique point de contact du prestataire pour toute question relative à la mission.</w:t>
      </w:r>
      <w:r>
        <w:rPr>
          <w:rFonts w:eastAsia="Arial Unicode MS" w:asciiTheme="minorHAnsi" w:hAnsiTheme="minorHAnsi" w:cstheme="minorHAnsi"/>
          <w:sz w:val="20"/>
          <w:szCs w:val="20"/>
        </w:rPr>
      </w:r>
    </w:p>
    <w:p w14:paraId="26874382" w14:textId="77777777">
      <w:pPr>
        <w:pBdr/>
        <w:spacing/>
        <w:ind/>
        <w:rPr>
          <w:rFonts w:eastAsia="Arial Unicode MS" w:asciiTheme="minorHAnsi" w:hAnsiTheme="minorHAnsi" w:cstheme="minorHAnsi"/>
          <w:sz w:val="20"/>
          <w:szCs w:val="20"/>
        </w:rPr>
      </w:pPr>
      <w:r>
        <w:rPr>
          <w:rFonts w:eastAsia="Arial Unicode MS" w:asciiTheme="minorHAnsi" w:hAnsiTheme="minorHAnsi" w:cstheme="minorHAnsi"/>
          <w:sz w:val="20"/>
          <w:szCs w:val="20"/>
        </w:rPr>
      </w:r>
      <w:r>
        <w:rPr>
          <w:rFonts w:eastAsia="Arial Unicode MS" w:asciiTheme="minorHAnsi" w:hAnsiTheme="minorHAnsi" w:cstheme="minorHAnsi"/>
          <w:sz w:val="20"/>
          <w:szCs w:val="20"/>
        </w:rPr>
      </w:r>
    </w:p>
    <w:p w14:paraId="5DFAFC2C" w14:textId="19988191">
      <w:pPr>
        <w:pBdr/>
        <w:spacing/>
        <w:ind/>
        <w:rPr>
          <w:rFonts w:eastAsia="Arial Unicode MS" w:asciiTheme="minorHAnsi" w:hAnsiTheme="minorHAnsi" w:cstheme="minorHAnsi"/>
          <w:sz w:val="20"/>
          <w:szCs w:val="20"/>
        </w:rPr>
      </w:pPr>
      <w:r>
        <w:rPr>
          <w:rFonts w:eastAsia="Arial Unicode MS" w:asciiTheme="minorHAnsi" w:hAnsiTheme="minorHAnsi" w:cstheme="minorHAnsi"/>
          <w:sz w:val="20"/>
          <w:szCs w:val="20"/>
        </w:rPr>
        <w:t xml:space="preserve">Courriel : </w:t>
      </w:r>
      <w:hyperlink r:id="rId17" w:tooltip="mailto:Rayan.merheb@expertisefrance.fr" w:history="1">
        <w:r>
          <w:rPr>
            <w:rStyle w:val="1015"/>
            <w:rFonts w:eastAsia="Arial Unicode MS" w:asciiTheme="minorHAnsi" w:hAnsiTheme="minorHAnsi" w:cstheme="minorHAnsi"/>
            <w:sz w:val="20"/>
            <w:szCs w:val="20"/>
          </w:rPr>
          <w:t xml:space="preserve">Rayan.merheb@expertisefrance.fr</w:t>
        </w:r>
      </w:hyperlink>
      <w:r>
        <w:rPr>
          <w:rFonts w:eastAsia="Arial Unicode MS" w:asciiTheme="minorHAnsi" w:hAnsiTheme="minorHAnsi" w:cstheme="minorHAnsi"/>
          <w:sz w:val="20"/>
          <w:szCs w:val="20"/>
        </w:rPr>
        <w:t xml:space="preserve"> </w:t>
      </w:r>
      <w:r>
        <w:rPr>
          <w:rFonts w:eastAsia="Arial Unicode MS" w:asciiTheme="minorHAnsi" w:hAnsiTheme="minorHAnsi" w:cstheme="minorHAnsi"/>
          <w:sz w:val="20"/>
          <w:szCs w:val="20"/>
        </w:rPr>
      </w:r>
    </w:p>
    <w:p w14:paraId="4029D98B"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00A8F97B" w14:textId="71901225">
      <w:pPr>
        <w:numPr>
          <w:ilvl w:val="0"/>
          <w:numId w:val="1"/>
        </w:numPr>
        <w:pBdr/>
        <w:shd w:val="clear" w:color="auto" w:fill="e6e6e6"/>
        <w:tabs>
          <w:tab w:val="num" w:leader="none" w:pos="180"/>
          <w:tab w:val="clear" w:leader="none" w:pos="720"/>
        </w:tabs>
        <w:spacing/>
        <w:ind w:left="180"/>
        <w:rPr>
          <w:rFonts w:eastAsia="Arial Unicode MS" w:asciiTheme="minorHAnsi" w:hAnsiTheme="minorHAnsi" w:cstheme="minorHAnsi"/>
          <w:b/>
          <w:sz w:val="20"/>
          <w:szCs w:val="20"/>
        </w:rPr>
      </w:pPr>
      <w:r>
        <w:rPr>
          <w:rFonts w:eastAsia="Arial Unicode MS" w:asciiTheme="minorHAnsi" w:hAnsiTheme="minorHAnsi" w:cstheme="minorHAnsi"/>
          <w:b/>
          <w:bCs/>
          <w:sz w:val="20"/>
          <w:szCs w:val="20"/>
        </w:rPr>
        <w:t xml:space="preserve">Lieu, durée et modalités d’exécution</w:t>
      </w:r>
      <w:r>
        <w:rPr>
          <w:rFonts w:eastAsia="Arial Unicode MS" w:asciiTheme="minorHAnsi" w:hAnsiTheme="minorHAnsi" w:cstheme="minorHAnsi"/>
          <w:b/>
          <w:sz w:val="20"/>
          <w:szCs w:val="20"/>
        </w:rPr>
      </w:r>
    </w:p>
    <w:p w14:paraId="6D77A0D3" w14:textId="77777777">
      <w:pPr>
        <w:pBdr/>
        <w:spacing/>
        <w:ind/>
        <w:rPr>
          <w:rFonts w:asciiTheme="minorHAnsi" w:hAnsiTheme="minorHAnsi" w:cstheme="minorHAnsi"/>
          <w:sz w:val="20"/>
          <w:szCs w:val="20"/>
          <w:highlight w:val="cyan"/>
        </w:rPr>
      </w:pPr>
      <w:r>
        <w:rPr>
          <w:rFonts w:asciiTheme="minorHAnsi" w:hAnsiTheme="minorHAnsi" w:cstheme="minorHAnsi"/>
          <w:sz w:val="20"/>
          <w:szCs w:val="20"/>
          <w:highlight w:val="cyan"/>
        </w:rPr>
      </w:r>
      <w:r>
        <w:rPr>
          <w:rFonts w:asciiTheme="minorHAnsi" w:hAnsiTheme="minorHAnsi" w:cstheme="minorHAnsi"/>
          <w:sz w:val="20"/>
          <w:szCs w:val="20"/>
          <w:highlight w:val="cyan"/>
        </w:rPr>
      </w:r>
    </w:p>
    <w:p w14:paraId="2676E202">
      <w:pPr>
        <w:pBdr/>
        <w:spacing w:line="240" w:lineRule="auto"/>
        <w:ind/>
        <w:jc w:val="both"/>
        <w:rPr>
          <w:rFonts w:asciiTheme="minorHAnsi" w:hAnsiTheme="minorHAnsi" w:cstheme="minorHAnsi"/>
          <w:sz w:val="22"/>
          <w:szCs w:val="22"/>
        </w:rPr>
      </w:pPr>
      <w:r>
        <w:rPr>
          <w:rFonts w:eastAsia="Arial Unicode MS" w:asciiTheme="minorHAnsi" w:hAnsiTheme="minorHAnsi" w:cstheme="minorHAnsi"/>
          <w:b/>
          <w:bCs/>
          <w:sz w:val="20"/>
          <w:szCs w:val="20"/>
        </w:rPr>
        <w:t xml:space="preserve">Période de mise en œuvre :</w:t>
      </w:r>
      <w:r>
        <w:rPr>
          <w:rFonts w:eastAsia="Arial Unicode MS" w:asciiTheme="minorHAnsi" w:hAnsiTheme="minorHAnsi" w:cstheme="minorHAnsi"/>
          <w:sz w:val="20"/>
          <w:szCs w:val="20"/>
        </w:rPr>
        <w:t xml:space="preserve"> </w:t>
      </w:r>
      <w:r>
        <w:rPr>
          <w:rFonts w:asciiTheme="minorHAnsi" w:hAnsiTheme="minorHAnsi" w:cstheme="minorHAnsi"/>
          <w:sz w:val="22"/>
          <w:szCs w:val="22"/>
        </w:rPr>
      </w:r>
      <w:r>
        <w:rPr>
          <w:rFonts w:asciiTheme="minorHAnsi" w:hAnsiTheme="minorHAnsi" w:cstheme="minorHAnsi"/>
          <w:sz w:val="22"/>
          <w:szCs w:val="22"/>
        </w:rPr>
        <w:t xml:space="preserve">La durée </w:t>
      </w:r>
      <w:r>
        <w:rPr>
          <w:rFonts w:asciiTheme="minorHAnsi" w:hAnsiTheme="minorHAnsi" w:cstheme="minorHAnsi"/>
          <w:sz w:val="22"/>
          <w:szCs w:val="22"/>
        </w:rPr>
        <w:t xml:space="preserve">prévisionnelle </w:t>
      </w:r>
      <w:r>
        <w:rPr>
          <w:rFonts w:asciiTheme="minorHAnsi" w:hAnsiTheme="minorHAnsi" w:cstheme="minorHAnsi"/>
          <w:sz w:val="22"/>
          <w:szCs w:val="22"/>
        </w:rPr>
        <w:t xml:space="preserve">du contrat </w:t>
      </w:r>
      <w:r>
        <w:rPr>
          <w:rFonts w:asciiTheme="minorHAnsi" w:hAnsiTheme="minorHAnsi" w:cstheme="minorHAnsi"/>
          <w:sz w:val="22"/>
          <w:szCs w:val="22"/>
        </w:rPr>
        <w:t xml:space="preserve">dependera la duree proposee dans l’offre retenue</w:t>
      </w:r>
      <w:r>
        <w:rPr>
          <w:rFonts w:asciiTheme="minorHAnsi" w:hAnsiTheme="minorHAnsi" w:cstheme="minorHAnsi"/>
          <w:sz w:val="22"/>
          <w:szCs w:val="22"/>
        </w:rPr>
      </w:r>
    </w:p>
    <w:p w14:paraId="3979D90F">
      <w:pPr>
        <w:pBdr/>
        <w:spacing w:line="240" w:lineRule="auto"/>
        <w:ind/>
        <w:jc w:val="both"/>
        <w:rPr>
          <w:rFonts w:asciiTheme="minorHAnsi" w:hAnsiTheme="minorHAnsi" w:cstheme="minorHAnsi"/>
          <w:sz w:val="22"/>
          <w:szCs w:val="22"/>
        </w:rPr>
      </w:pPr>
      <w:r>
        <w:rPr>
          <w:rFonts w:eastAsia="Arial Unicode MS" w:asciiTheme="minorHAnsi" w:hAnsiTheme="minorHAnsi" w:cstheme="minorHAnsi"/>
          <w:sz w:val="20"/>
          <w:szCs w:val="20"/>
        </w:rPr>
      </w:r>
      <w:r>
        <w:rPr>
          <w:rFonts w:asciiTheme="minorHAnsi" w:hAnsiTheme="minorHAnsi" w:cstheme="minorHAnsi"/>
          <w:sz w:val="22"/>
          <w:szCs w:val="22"/>
        </w:rPr>
      </w:r>
      <w:r/>
    </w:p>
    <w:p w14:paraId="0C429BB1">
      <w:pPr>
        <w:pBdr/>
        <w:spacing/>
        <w:ind w:firstLine="0" w:left="720"/>
        <w:jc w:val="both"/>
        <w:rPr>
          <w:rFonts w:eastAsia="Arial Unicode MS" w:asciiTheme="minorHAnsi" w:hAnsiTheme="minorHAnsi" w:cstheme="minorHAnsi"/>
          <w:sz w:val="20"/>
          <w:szCs w:val="20"/>
        </w:rPr>
      </w:pPr>
      <w:r>
        <w:rPr>
          <w:rFonts w:eastAsia="Arial Unicode MS" w:asciiTheme="minorHAnsi" w:hAnsiTheme="minorHAnsi" w:cstheme="minorHAnsi"/>
          <w:sz w:val="20"/>
          <w:szCs w:val="20"/>
        </w:rPr>
      </w:r>
      <w:r>
        <w:rPr>
          <w:rFonts w:eastAsia="Arial Unicode MS" w:asciiTheme="minorHAnsi" w:hAnsiTheme="minorHAnsi" w:cstheme="minorHAnsi"/>
          <w:sz w:val="20"/>
          <w:szCs w:val="20"/>
        </w:rPr>
      </w:r>
      <w:r/>
    </w:p>
    <w:p w14:paraId="7AC314AC" w14:textId="5E23E196">
      <w:pPr>
        <w:pStyle w:val="1016"/>
        <w:numPr>
          <w:ilvl w:val="0"/>
          <w:numId w:val="38"/>
        </w:numPr>
        <w:pBdr/>
        <w:spacing/>
        <w:ind/>
        <w:jc w:val="both"/>
        <w:rPr>
          <w:rFonts w:eastAsia="Arial Unicode MS" w:asciiTheme="minorHAnsi" w:hAnsiTheme="minorHAnsi" w:cstheme="minorHAnsi"/>
          <w:sz w:val="20"/>
          <w:szCs w:val="20"/>
        </w:rPr>
      </w:pPr>
      <w:r>
        <w:rPr>
          <w:rFonts w:eastAsia="Arial Unicode MS" w:asciiTheme="minorHAnsi" w:hAnsiTheme="minorHAnsi" w:cstheme="minorHAnsi"/>
          <w:b/>
          <w:bCs/>
          <w:sz w:val="20"/>
          <w:szCs w:val="20"/>
        </w:rPr>
        <w:t xml:space="preserve">Date de début :</w:t>
      </w:r>
      <w:r>
        <w:rPr>
          <w:rFonts w:eastAsia="Arial Unicode MS" w:asciiTheme="minorHAnsi" w:hAnsiTheme="minorHAnsi" w:cstheme="minorHAnsi"/>
          <w:sz w:val="20"/>
          <w:szCs w:val="20"/>
        </w:rPr>
        <w:t xml:space="preserve"> 01/06/2026</w:t>
      </w:r>
      <w:r>
        <w:rPr>
          <w:rFonts w:eastAsia="Arial Unicode MS" w:asciiTheme="minorHAnsi" w:hAnsiTheme="minorHAnsi" w:cstheme="minorHAnsi"/>
          <w:sz w:val="20"/>
          <w:szCs w:val="20"/>
        </w:rPr>
      </w:r>
    </w:p>
    <w:p w14:paraId="3E1664EC" w14:textId="77777777">
      <w:pPr>
        <w:pBdr/>
        <w:spacing/>
        <w:ind/>
        <w:jc w:val="both"/>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3F9AB25" w14:textId="1D037038">
      <w:pPr>
        <w:numPr>
          <w:ilvl w:val="0"/>
          <w:numId w:val="1"/>
        </w:numPr>
        <w:pBdr/>
        <w:shd w:val="clear" w:color="auto" w:fill="e6e6e6"/>
        <w:tabs>
          <w:tab w:val="num" w:leader="none" w:pos="180"/>
          <w:tab w:val="clear" w:leader="none" w:pos="720"/>
        </w:tabs>
        <w:spacing/>
        <w:ind w:left="18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t xml:space="preserve">Calendrier prévisionnel de l’appel d’offres</w:t>
      </w:r>
      <w:r>
        <w:rPr>
          <w:rFonts w:eastAsia="Arial Unicode MS" w:asciiTheme="minorHAnsi" w:hAnsiTheme="minorHAnsi" w:cstheme="minorHAnsi"/>
          <w:b/>
          <w:bCs/>
          <w:sz w:val="20"/>
          <w:szCs w:val="20"/>
        </w:rPr>
      </w:r>
    </w:p>
    <w:p w14:paraId="2C7F6B29" w14:textId="26119176">
      <w:pPr>
        <w:pBdr/>
        <w:spacing/>
        <w:ind w:left="180"/>
        <w:rPr>
          <w:rFonts w:eastAsia="Arial Unicode MS" w:asciiTheme="minorHAnsi" w:hAnsiTheme="minorHAnsi" w:cstheme="minorHAnsi"/>
          <w:b/>
          <w:bCs/>
          <w:sz w:val="20"/>
          <w:szCs w:val="20"/>
        </w:rPr>
      </w:pPr>
      <w:r>
        <w:rPr>
          <w:rFonts w:eastAsia="Arial Unicode MS" w:asciiTheme="minorHAnsi" w:hAnsiTheme="minorHAnsi" w:cstheme="minorHAnsi"/>
          <w:b/>
          <w:bCs/>
          <w:sz w:val="20"/>
          <w:szCs w:val="20"/>
        </w:rPr>
      </w:r>
      <w:r>
        <w:rPr>
          <w:rFonts w:eastAsia="Arial Unicode MS" w:asciiTheme="minorHAnsi" w:hAnsiTheme="minorHAnsi" w:cstheme="minorHAnsi"/>
          <w:b/>
          <w:bCs/>
          <w:sz w:val="20"/>
          <w:szCs w:val="20"/>
        </w:rPr>
      </w:r>
    </w:p>
    <w:tbl>
      <w:tblPr>
        <w:tblStyle w:val="1000"/>
        <w:tblInd w:w="180" w:type="dxa"/>
        <w:tblW w:w="8905" w:type="dxa"/>
        <w:tblBorders/>
        <w:tblLook w:val="04A0" w:firstRow="1" w:lastRow="0" w:firstColumn="1" w:lastColumn="0" w:noHBand="0" w:noVBand="1"/>
      </w:tblPr>
      <w:tblGrid>
        <w:gridCol w:w="1435"/>
        <w:gridCol w:w="7470"/>
      </w:tblGrid>
      <w:tr>
        <w:trPr/>
        <w:tc>
          <w:tcPr>
            <w:shd w:val="clear" w:color="auto" w:fill="1f497d" w:themeFill="text2"/>
            <w:tcBorders/>
            <w:tcW w:w="1435" w:type="dxa"/>
            <w:textDirection w:val="lrTb"/>
            <w:noWrap w:val="false"/>
          </w:tcPr>
          <w:p w14:paraId="7ADA0797" w14:textId="398D938C">
            <w:pPr>
              <w:pBdr/>
              <w:spacing/>
              <w:ind/>
              <w:rPr>
                <w:rFonts w:eastAsia="Arial Unicode MS" w:asciiTheme="minorHAnsi" w:hAnsiTheme="minorHAnsi" w:cstheme="minorHAnsi"/>
                <w:b/>
                <w:bCs/>
                <w:color w:val="ffffff" w:themeColor="background1"/>
                <w:sz w:val="20"/>
                <w:szCs w:val="20"/>
              </w:rPr>
            </w:pPr>
            <w:r>
              <w:rPr>
                <w:rFonts w:eastAsia="Arial Unicode MS" w:asciiTheme="minorHAnsi" w:hAnsiTheme="minorHAnsi" w:cstheme="minorHAnsi"/>
                <w:b/>
                <w:bCs/>
                <w:color w:val="ffffff" w:themeColor="background1"/>
                <w:sz w:val="20"/>
                <w:szCs w:val="20"/>
              </w:rPr>
              <w:t xml:space="preserve">Date</w:t>
            </w:r>
            <w:r>
              <w:rPr>
                <w:rFonts w:eastAsia="Arial Unicode MS" w:asciiTheme="minorHAnsi" w:hAnsiTheme="minorHAnsi" w:cstheme="minorHAnsi"/>
                <w:b/>
                <w:bCs/>
                <w:color w:val="ffffff" w:themeColor="background1"/>
                <w:sz w:val="20"/>
                <w:szCs w:val="20"/>
              </w:rPr>
            </w:r>
          </w:p>
        </w:tc>
        <w:tc>
          <w:tcPr>
            <w:shd w:val="clear" w:color="auto" w:fill="1f497d" w:themeFill="text2"/>
            <w:tcBorders/>
            <w:tcW w:w="7470" w:type="dxa"/>
            <w:textDirection w:val="lrTb"/>
            <w:noWrap w:val="false"/>
          </w:tcPr>
          <w:p w14:paraId="19621D73" w14:textId="0DDC5A95">
            <w:pPr>
              <w:pBdr/>
              <w:spacing/>
              <w:ind/>
              <w:rPr>
                <w:rFonts w:eastAsia="Arial Unicode MS" w:asciiTheme="minorHAnsi" w:hAnsiTheme="minorHAnsi" w:cstheme="minorHAnsi"/>
                <w:b/>
                <w:bCs/>
                <w:color w:val="ffffff" w:themeColor="background1"/>
                <w:sz w:val="20"/>
                <w:szCs w:val="20"/>
              </w:rPr>
            </w:pPr>
            <w:r>
              <w:rPr>
                <w:rFonts w:eastAsia="Arial Unicode MS" w:asciiTheme="minorHAnsi" w:hAnsiTheme="minorHAnsi" w:cstheme="minorHAnsi"/>
                <w:b/>
                <w:bCs/>
                <w:color w:val="ffffff" w:themeColor="background1"/>
                <w:sz w:val="20"/>
                <w:szCs w:val="20"/>
              </w:rPr>
              <w:t xml:space="preserve">Etape</w:t>
            </w:r>
            <w:r>
              <w:rPr>
                <w:rFonts w:eastAsia="Arial Unicode MS" w:asciiTheme="minorHAnsi" w:hAnsiTheme="minorHAnsi" w:cstheme="minorHAnsi"/>
                <w:b/>
                <w:bCs/>
                <w:color w:val="ffffff" w:themeColor="background1"/>
                <w:sz w:val="20"/>
                <w:szCs w:val="20"/>
              </w:rPr>
            </w:r>
          </w:p>
        </w:tc>
      </w:tr>
      <w:tr>
        <w:trPr>
          <w:trHeight w:val="229"/>
        </w:trPr>
        <w:tc>
          <w:tcPr>
            <w:tcBorders/>
            <w:tcW w:w="1435" w:type="dxa"/>
            <w:textDirection w:val="lrTb"/>
            <w:noWrap w:val="false"/>
          </w:tcPr>
          <w:p w14:paraId="08BFB85B" w14:textId="57722DEB">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04</w:t>
            </w:r>
            <w:r>
              <w:rPr>
                <w:rFonts w:eastAsia="Arial Unicode MS" w:asciiTheme="minorHAnsi" w:hAnsiTheme="minorHAnsi" w:cstheme="minorHAnsi"/>
                <w:sz w:val="20"/>
                <w:szCs w:val="20"/>
                <w:highlight w:val="white"/>
              </w:rPr>
              <w:t xml:space="preserve">/</w:t>
            </w:r>
            <w:r>
              <w:rPr>
                <w:rFonts w:eastAsia="Arial Unicode MS" w:asciiTheme="minorHAnsi" w:hAnsiTheme="minorHAnsi" w:cstheme="minorHAnsi"/>
                <w:sz w:val="20"/>
                <w:szCs w:val="20"/>
                <w:highlight w:val="white"/>
              </w:rPr>
              <w:t xml:space="preserve">0</w:t>
            </w:r>
            <w:r>
              <w:rPr>
                <w:rFonts w:eastAsia="Arial Unicode MS" w:asciiTheme="minorHAnsi" w:hAnsiTheme="minorHAnsi" w:cstheme="minorHAnsi"/>
                <w:sz w:val="20"/>
                <w:szCs w:val="20"/>
                <w:highlight w:val="white"/>
              </w:rPr>
              <w:t xml:space="preserve">5/202</w:t>
            </w:r>
            <w:r>
              <w:rPr>
                <w:rFonts w:eastAsia="Arial Unicode MS" w:asciiTheme="minorHAnsi" w:hAnsiTheme="minorHAnsi" w:cstheme="minorHAnsi"/>
                <w:sz w:val="20"/>
                <w:szCs w:val="20"/>
                <w:highlight w:val="white"/>
              </w:rPr>
              <w:t xml:space="preserve">6</w:t>
            </w:r>
            <w:r>
              <w:rPr>
                <w:rFonts w:eastAsia="Arial Unicode MS" w:asciiTheme="minorHAnsi" w:hAnsiTheme="minorHAnsi" w:cstheme="minorHAnsi"/>
                <w:sz w:val="20"/>
                <w:szCs w:val="20"/>
                <w:highlight w:val="white"/>
              </w:rPr>
            </w:r>
            <w:r>
              <w:rPr>
                <w:rFonts w:eastAsia="Arial Unicode MS" w:asciiTheme="minorHAnsi" w:hAnsiTheme="minorHAnsi" w:cstheme="minorHAnsi"/>
                <w:b/>
                <w:bCs/>
                <w:sz w:val="20"/>
                <w:szCs w:val="20"/>
                <w:highlight w:val="white"/>
              </w:rPr>
            </w:r>
          </w:p>
        </w:tc>
        <w:tc>
          <w:tcPr>
            <w:tcBorders/>
            <w:tcW w:w="7470" w:type="dxa"/>
            <w:textDirection w:val="lrTb"/>
            <w:noWrap w:val="false"/>
          </w:tcPr>
          <w:p w14:paraId="3E1042FD" w14:textId="4E529560">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Visite du site</w:t>
            </w:r>
            <w:r>
              <w:rPr>
                <w:rFonts w:eastAsia="Arial Unicode MS" w:asciiTheme="minorHAnsi" w:hAnsiTheme="minorHAnsi" w:cstheme="minorHAnsi"/>
                <w:b/>
                <w:bCs/>
                <w:sz w:val="20"/>
                <w:szCs w:val="20"/>
                <w:highlight w:val="white"/>
              </w:rPr>
            </w:r>
          </w:p>
        </w:tc>
      </w:tr>
      <w:tr>
        <w:trPr/>
        <w:tc>
          <w:tcPr>
            <w:tcBorders/>
            <w:tcW w:w="1435" w:type="dxa"/>
            <w:textDirection w:val="lrTb"/>
            <w:noWrap w:val="false"/>
          </w:tcPr>
          <w:p w14:paraId="7C25B3A1" w14:textId="260067F2">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15</w:t>
            </w:r>
            <w:r>
              <w:rPr>
                <w:rFonts w:eastAsia="Arial Unicode MS" w:asciiTheme="minorHAnsi" w:hAnsiTheme="minorHAnsi" w:cstheme="minorHAnsi"/>
                <w:sz w:val="20"/>
                <w:szCs w:val="20"/>
                <w:highlight w:val="white"/>
              </w:rPr>
              <w:t xml:space="preserve">/</w:t>
            </w:r>
            <w:r>
              <w:rPr>
                <w:rFonts w:eastAsia="Arial Unicode MS" w:asciiTheme="minorHAnsi" w:hAnsiTheme="minorHAnsi" w:cstheme="minorHAnsi"/>
                <w:sz w:val="20"/>
                <w:szCs w:val="20"/>
                <w:highlight w:val="white"/>
              </w:rPr>
              <w:t xml:space="preserve">05</w:t>
            </w:r>
            <w:r>
              <w:rPr>
                <w:rFonts w:eastAsia="Arial Unicode MS" w:asciiTheme="minorHAnsi" w:hAnsiTheme="minorHAnsi" w:cstheme="minorHAnsi"/>
                <w:sz w:val="20"/>
                <w:szCs w:val="20"/>
                <w:highlight w:val="white"/>
              </w:rPr>
              <w:t xml:space="preserve">/202</w:t>
            </w:r>
            <w:r>
              <w:rPr>
                <w:rFonts w:eastAsia="Arial Unicode MS" w:asciiTheme="minorHAnsi" w:hAnsiTheme="minorHAnsi" w:cstheme="minorHAnsi"/>
                <w:sz w:val="20"/>
                <w:szCs w:val="20"/>
                <w:highlight w:val="white"/>
              </w:rPr>
              <w:t xml:space="preserve">6</w:t>
            </w:r>
            <w:r>
              <w:rPr>
                <w:rFonts w:eastAsia="Arial Unicode MS" w:asciiTheme="minorHAnsi" w:hAnsiTheme="minorHAnsi" w:cstheme="minorHAnsi"/>
                <w:sz w:val="20"/>
                <w:szCs w:val="20"/>
                <w:highlight w:val="white"/>
              </w:rPr>
              <w:t xml:space="preserve"> </w:t>
            </w:r>
            <w:r>
              <w:rPr>
                <w:rFonts w:eastAsia="Arial Unicode MS" w:asciiTheme="minorHAnsi" w:hAnsiTheme="minorHAnsi" w:cstheme="minorHAnsi"/>
                <w:b/>
                <w:bCs/>
                <w:sz w:val="20"/>
                <w:szCs w:val="20"/>
                <w:highlight w:val="white"/>
              </w:rPr>
            </w:r>
          </w:p>
        </w:tc>
        <w:tc>
          <w:tcPr>
            <w:tcBorders/>
            <w:tcW w:w="7470" w:type="dxa"/>
            <w:textDirection w:val="lrTb"/>
            <w:noWrap w:val="false"/>
          </w:tcPr>
          <w:p w14:paraId="4D691748" w14:textId="78AA09A8">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Date limite de soumission des offres</w:t>
            </w:r>
            <w:r>
              <w:rPr>
                <w:rFonts w:eastAsia="Arial Unicode MS" w:asciiTheme="minorHAnsi" w:hAnsiTheme="minorHAnsi" w:cstheme="minorHAnsi"/>
                <w:b/>
                <w:bCs/>
                <w:sz w:val="20"/>
                <w:szCs w:val="20"/>
                <w:highlight w:val="white"/>
              </w:rPr>
            </w:r>
          </w:p>
        </w:tc>
      </w:tr>
      <w:tr>
        <w:trPr/>
        <w:tc>
          <w:tcPr>
            <w:tcBorders/>
            <w:tcW w:w="1435" w:type="dxa"/>
            <w:textDirection w:val="lrTb"/>
            <w:noWrap w:val="false"/>
          </w:tcPr>
          <w:p w14:paraId="073360D1" w14:textId="286A615F">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2</w:t>
            </w:r>
            <w:r>
              <w:rPr>
                <w:rFonts w:eastAsia="Arial Unicode MS" w:asciiTheme="minorHAnsi" w:hAnsiTheme="minorHAnsi" w:cstheme="minorHAnsi"/>
                <w:sz w:val="20"/>
                <w:szCs w:val="20"/>
                <w:highlight w:val="white"/>
              </w:rPr>
              <w:t xml:space="preserve">0</w:t>
            </w:r>
            <w:r>
              <w:rPr>
                <w:rFonts w:eastAsia="Arial Unicode MS" w:asciiTheme="minorHAnsi" w:hAnsiTheme="minorHAnsi" w:cstheme="minorHAnsi"/>
                <w:sz w:val="20"/>
                <w:szCs w:val="20"/>
                <w:highlight w:val="white"/>
              </w:rPr>
              <w:t xml:space="preserve">/0</w:t>
            </w:r>
            <w:r>
              <w:rPr>
                <w:rFonts w:eastAsia="Arial Unicode MS" w:asciiTheme="minorHAnsi" w:hAnsiTheme="minorHAnsi" w:cstheme="minorHAnsi"/>
                <w:sz w:val="20"/>
                <w:szCs w:val="20"/>
                <w:highlight w:val="white"/>
              </w:rPr>
              <w:t xml:space="preserve">5/202</w:t>
            </w:r>
            <w:r>
              <w:rPr>
                <w:rFonts w:eastAsia="Arial Unicode MS" w:asciiTheme="minorHAnsi" w:hAnsiTheme="minorHAnsi" w:cstheme="minorHAnsi"/>
                <w:sz w:val="20"/>
                <w:szCs w:val="20"/>
                <w:highlight w:val="white"/>
              </w:rPr>
              <w:t xml:space="preserve">6</w:t>
            </w:r>
            <w:r>
              <w:rPr>
                <w:rFonts w:eastAsia="Arial Unicode MS" w:asciiTheme="minorHAnsi" w:hAnsiTheme="minorHAnsi" w:cstheme="minorHAnsi"/>
                <w:b/>
                <w:bCs/>
                <w:sz w:val="20"/>
                <w:szCs w:val="20"/>
                <w:highlight w:val="white"/>
              </w:rPr>
            </w:r>
          </w:p>
        </w:tc>
        <w:tc>
          <w:tcPr>
            <w:tcBorders/>
            <w:tcW w:w="7470" w:type="dxa"/>
            <w:textDirection w:val="lrTb"/>
            <w:noWrap w:val="false"/>
          </w:tcPr>
          <w:p w14:paraId="5915EEB1" w14:textId="53B94426">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Demande d’offres optimisées en cas de pièces administratives manquantes uniquement</w:t>
            </w:r>
            <w:r>
              <w:rPr>
                <w:rFonts w:eastAsia="Arial Unicode MS" w:asciiTheme="minorHAnsi" w:hAnsiTheme="minorHAnsi" w:cstheme="minorHAnsi"/>
                <w:b/>
                <w:bCs/>
                <w:sz w:val="20"/>
                <w:szCs w:val="20"/>
                <w:highlight w:val="white"/>
              </w:rPr>
            </w:r>
          </w:p>
        </w:tc>
      </w:tr>
      <w:tr>
        <w:trPr/>
        <w:tc>
          <w:tcPr>
            <w:tcBorders/>
            <w:tcW w:w="1435" w:type="dxa"/>
            <w:textDirection w:val="lrTb"/>
            <w:noWrap w:val="false"/>
          </w:tcPr>
          <w:p w14:paraId="2FAF07C2" w14:textId="6E5E7536">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22</w:t>
            </w:r>
            <w:r>
              <w:rPr>
                <w:rFonts w:eastAsia="Arial Unicode MS" w:asciiTheme="minorHAnsi" w:hAnsiTheme="minorHAnsi" w:cstheme="minorHAnsi"/>
                <w:sz w:val="20"/>
                <w:szCs w:val="20"/>
                <w:highlight w:val="white"/>
              </w:rPr>
              <w:t xml:space="preserve">/0</w:t>
            </w:r>
            <w:r>
              <w:rPr>
                <w:rFonts w:eastAsia="Arial Unicode MS" w:asciiTheme="minorHAnsi" w:hAnsiTheme="minorHAnsi" w:cstheme="minorHAnsi"/>
                <w:sz w:val="20"/>
                <w:szCs w:val="20"/>
                <w:highlight w:val="white"/>
              </w:rPr>
              <w:t xml:space="preserve">5/202</w:t>
            </w:r>
            <w:r>
              <w:rPr>
                <w:rFonts w:eastAsia="Arial Unicode MS" w:asciiTheme="minorHAnsi" w:hAnsiTheme="minorHAnsi" w:cstheme="minorHAnsi"/>
                <w:sz w:val="20"/>
                <w:szCs w:val="20"/>
                <w:highlight w:val="white"/>
              </w:rPr>
              <w:t xml:space="preserve">6</w:t>
            </w:r>
            <w:r>
              <w:rPr>
                <w:rFonts w:eastAsia="Arial Unicode MS" w:asciiTheme="minorHAnsi" w:hAnsiTheme="minorHAnsi" w:cstheme="minorHAnsi"/>
                <w:b/>
                <w:bCs/>
                <w:sz w:val="20"/>
                <w:szCs w:val="20"/>
                <w:highlight w:val="white"/>
              </w:rPr>
            </w:r>
          </w:p>
        </w:tc>
        <w:tc>
          <w:tcPr>
            <w:tcBorders/>
            <w:tcW w:w="7470" w:type="dxa"/>
            <w:textDirection w:val="lrTb"/>
            <w:noWrap w:val="false"/>
          </w:tcPr>
          <w:p w14:paraId="68C95A8A" w14:textId="65DDAA26">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Date limite de soumission des offres optimisées</w:t>
            </w:r>
            <w:r>
              <w:rPr>
                <w:rFonts w:eastAsia="Arial Unicode MS" w:asciiTheme="minorHAnsi" w:hAnsiTheme="minorHAnsi" w:cstheme="minorHAnsi"/>
                <w:b/>
                <w:bCs/>
                <w:sz w:val="20"/>
                <w:szCs w:val="20"/>
                <w:highlight w:val="white"/>
              </w:rPr>
            </w:r>
          </w:p>
        </w:tc>
      </w:tr>
      <w:tr>
        <w:trPr/>
        <w:tc>
          <w:tcPr>
            <w:tcBorders/>
            <w:tcW w:w="1435" w:type="dxa"/>
            <w:textDirection w:val="lrTb"/>
            <w:noWrap w:val="false"/>
          </w:tcPr>
          <w:p w14:paraId="789E8A51" w14:textId="2C6EB60E">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26</w:t>
            </w:r>
            <w:r>
              <w:rPr>
                <w:rFonts w:eastAsia="Arial Unicode MS" w:asciiTheme="minorHAnsi" w:hAnsiTheme="minorHAnsi" w:cstheme="minorHAnsi"/>
                <w:sz w:val="20"/>
                <w:szCs w:val="20"/>
                <w:highlight w:val="white"/>
              </w:rPr>
              <w:t xml:space="preserve">/0</w:t>
            </w:r>
            <w:r>
              <w:rPr>
                <w:rFonts w:eastAsia="Arial Unicode MS" w:asciiTheme="minorHAnsi" w:hAnsiTheme="minorHAnsi" w:cstheme="minorHAnsi"/>
                <w:sz w:val="20"/>
                <w:szCs w:val="20"/>
                <w:highlight w:val="white"/>
              </w:rPr>
              <w:t xml:space="preserve">5/202</w:t>
            </w:r>
            <w:r>
              <w:rPr>
                <w:rFonts w:eastAsia="Arial Unicode MS" w:asciiTheme="minorHAnsi" w:hAnsiTheme="minorHAnsi" w:cstheme="minorHAnsi"/>
                <w:sz w:val="20"/>
                <w:szCs w:val="20"/>
                <w:highlight w:val="white"/>
              </w:rPr>
              <w:t xml:space="preserve">6</w:t>
            </w:r>
            <w:r>
              <w:rPr>
                <w:rFonts w:eastAsia="Arial Unicode MS" w:asciiTheme="minorHAnsi" w:hAnsiTheme="minorHAnsi" w:cstheme="minorHAnsi"/>
                <w:sz w:val="20"/>
                <w:szCs w:val="20"/>
                <w:highlight w:val="white"/>
              </w:rPr>
              <w:t xml:space="preserve"> </w:t>
            </w:r>
            <w:r>
              <w:rPr>
                <w:rFonts w:eastAsia="Arial Unicode MS" w:asciiTheme="minorHAnsi" w:hAnsiTheme="minorHAnsi" w:cstheme="minorHAnsi"/>
                <w:b/>
                <w:bCs/>
                <w:sz w:val="20"/>
                <w:szCs w:val="20"/>
                <w:highlight w:val="white"/>
              </w:rPr>
            </w:r>
          </w:p>
        </w:tc>
        <w:tc>
          <w:tcPr>
            <w:tcBorders/>
            <w:tcW w:w="7470" w:type="dxa"/>
            <w:textDirection w:val="lrTb"/>
            <w:noWrap w:val="false"/>
          </w:tcPr>
          <w:p w14:paraId="752D4121" w14:textId="69FD1424">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Envoi des lettres de rejet aux candidats non retenus</w:t>
            </w:r>
            <w:r>
              <w:rPr>
                <w:rFonts w:eastAsia="Arial Unicode MS" w:asciiTheme="minorHAnsi" w:hAnsiTheme="minorHAnsi" w:cstheme="minorHAnsi"/>
                <w:b/>
                <w:bCs/>
                <w:sz w:val="20"/>
                <w:szCs w:val="20"/>
                <w:highlight w:val="white"/>
              </w:rPr>
            </w:r>
          </w:p>
        </w:tc>
      </w:tr>
      <w:tr>
        <w:trPr/>
        <w:tc>
          <w:tcPr>
            <w:tcBorders/>
            <w:tcW w:w="1435" w:type="dxa"/>
            <w:textDirection w:val="lrTb"/>
            <w:noWrap w:val="false"/>
          </w:tcPr>
          <w:p w14:paraId="168EDD58" w14:textId="7DA0001F">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01/</w:t>
            </w:r>
            <w:r>
              <w:rPr>
                <w:rFonts w:eastAsia="Arial Unicode MS" w:asciiTheme="minorHAnsi" w:hAnsiTheme="minorHAnsi" w:cstheme="minorHAnsi"/>
                <w:sz w:val="20"/>
                <w:szCs w:val="20"/>
                <w:highlight w:val="white"/>
              </w:rPr>
              <w:t xml:space="preserve">06</w:t>
            </w:r>
            <w:r>
              <w:rPr>
                <w:rFonts w:eastAsia="Arial Unicode MS" w:asciiTheme="minorHAnsi" w:hAnsiTheme="minorHAnsi" w:cstheme="minorHAnsi"/>
                <w:sz w:val="20"/>
                <w:szCs w:val="20"/>
                <w:highlight w:val="white"/>
              </w:rPr>
              <w:t xml:space="preserve">/202</w:t>
            </w:r>
            <w:r>
              <w:rPr>
                <w:rFonts w:eastAsia="Arial Unicode MS" w:asciiTheme="minorHAnsi" w:hAnsiTheme="minorHAnsi" w:cstheme="minorHAnsi"/>
                <w:sz w:val="20"/>
                <w:szCs w:val="20"/>
                <w:highlight w:val="white"/>
              </w:rPr>
              <w:t xml:space="preserve">6</w:t>
            </w:r>
            <w:r>
              <w:rPr>
                <w:rFonts w:eastAsia="Arial Unicode MS" w:asciiTheme="minorHAnsi" w:hAnsiTheme="minorHAnsi" w:cstheme="minorHAnsi"/>
                <w:b/>
                <w:bCs/>
                <w:sz w:val="20"/>
                <w:szCs w:val="20"/>
                <w:highlight w:val="white"/>
              </w:rPr>
            </w:r>
          </w:p>
        </w:tc>
        <w:tc>
          <w:tcPr>
            <w:tcBorders/>
            <w:tcW w:w="7470" w:type="dxa"/>
            <w:textDirection w:val="lrTb"/>
            <w:noWrap w:val="false"/>
          </w:tcPr>
          <w:p w14:paraId="01CE2E19" w14:textId="60D91998">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sz w:val="20"/>
                <w:szCs w:val="20"/>
                <w:highlight w:val="white"/>
              </w:rPr>
              <w:t xml:space="preserve">Notification du marché</w:t>
            </w:r>
            <w:r>
              <w:rPr>
                <w:rFonts w:eastAsia="Arial Unicode MS" w:asciiTheme="minorHAnsi" w:hAnsiTheme="minorHAnsi" w:cstheme="minorHAnsi"/>
                <w:b/>
                <w:bCs/>
                <w:sz w:val="20"/>
                <w:szCs w:val="20"/>
                <w:highlight w:val="white"/>
              </w:rPr>
            </w:r>
          </w:p>
        </w:tc>
      </w:tr>
    </w:tbl>
    <w:p w14:paraId="5DC8E80E" w14:textId="77777777">
      <w:pPr>
        <w:pBdr/>
        <w:spacing/>
        <w:ind/>
        <w:rPr>
          <w:rFonts w:eastAsia="Arial Unicode MS" w:asciiTheme="minorHAnsi" w:hAnsiTheme="minorHAnsi" w:cstheme="minorHAnsi"/>
          <w:b/>
          <w:bCs/>
          <w:sz w:val="20"/>
          <w:szCs w:val="20"/>
          <w:highlight w:val="white"/>
        </w:rPr>
      </w:pPr>
      <w:r>
        <w:rPr>
          <w:rFonts w:eastAsia="Arial Unicode MS" w:asciiTheme="minorHAnsi" w:hAnsiTheme="minorHAnsi" w:cstheme="minorHAnsi"/>
          <w:b/>
          <w:bCs/>
          <w:sz w:val="20"/>
          <w:szCs w:val="20"/>
          <w:highlight w:val="white"/>
        </w:rPr>
      </w:r>
      <w:r>
        <w:rPr>
          <w:rFonts w:eastAsia="Arial Unicode MS" w:asciiTheme="minorHAnsi" w:hAnsiTheme="minorHAnsi" w:cstheme="minorHAnsi"/>
          <w:b/>
          <w:bCs/>
          <w:sz w:val="20"/>
          <w:szCs w:val="20"/>
          <w:highlight w:val="white"/>
        </w:rPr>
      </w:r>
    </w:p>
    <w:p w14:paraId="5E849476" w14:textId="77777777">
      <w:pPr>
        <w:pBdr/>
        <w:spacing/>
        <w:ind/>
        <w:rPr>
          <w:rFonts w:asciiTheme="minorHAnsi" w:hAnsiTheme="minorHAnsi" w:cstheme="minorHAnsi"/>
          <w:sz w:val="20"/>
          <w:szCs w:val="20"/>
          <w:highlight w:val="white"/>
        </w:rPr>
      </w:pPr>
      <w:r>
        <w:rPr>
          <w:rFonts w:asciiTheme="minorHAnsi" w:hAnsiTheme="minorHAnsi" w:cstheme="minorHAnsi"/>
          <w:sz w:val="20"/>
          <w:szCs w:val="20"/>
          <w:highlight w:val="white"/>
        </w:rPr>
        <w:t xml:space="preserve">N.B. : La participation à la visite du site est obligatoire ; toute absence entraînera l’inéligibilité du candidat.</w:t>
      </w:r>
      <w:r>
        <w:rPr>
          <w:rFonts w:asciiTheme="minorHAnsi" w:hAnsiTheme="minorHAnsi" w:cstheme="minorHAnsi"/>
          <w:sz w:val="20"/>
          <w:szCs w:val="20"/>
          <w:highlight w:val="white"/>
        </w:rPr>
      </w:r>
    </w:p>
    <w:p w14:paraId="1F40564D" w14:textId="77777777">
      <w:pPr>
        <w:pBdr/>
        <w:spacing/>
        <w:ind/>
        <w:rPr>
          <w:rFonts w:asciiTheme="minorHAnsi" w:hAnsiTheme="minorHAnsi" w:cstheme="minorHAnsi"/>
          <w:sz w:val="20"/>
          <w:szCs w:val="20"/>
          <w:highlight w:val="white"/>
        </w:rPr>
      </w:pPr>
      <w:r>
        <w:rPr>
          <w:rFonts w:asciiTheme="minorHAnsi" w:hAnsiTheme="minorHAnsi" w:cstheme="minorHAnsi"/>
          <w:sz w:val="20"/>
          <w:szCs w:val="20"/>
          <w:highlight w:val="white"/>
        </w:rPr>
      </w:r>
      <w:r>
        <w:rPr>
          <w:rFonts w:asciiTheme="minorHAnsi" w:hAnsiTheme="minorHAnsi" w:cstheme="minorHAnsi"/>
          <w:sz w:val="20"/>
          <w:szCs w:val="20"/>
          <w:highlight w:val="white"/>
        </w:rPr>
      </w:r>
    </w:p>
    <w:p w14:paraId="300FF15E" w14:textId="02B0015E">
      <w:pPr>
        <w:pBdr/>
        <w:spacing/>
        <w:ind/>
        <w:rPr>
          <w:rFonts w:asciiTheme="minorHAnsi" w:hAnsiTheme="minorHAnsi" w:cstheme="minorHAnsi"/>
          <w:sz w:val="20"/>
          <w:szCs w:val="20"/>
          <w:highlight w:val="white"/>
        </w:rPr>
      </w:pPr>
      <w:r>
        <w:rPr>
          <w:rFonts w:asciiTheme="minorHAnsi" w:hAnsiTheme="minorHAnsi" w:cstheme="minorHAnsi"/>
          <w:sz w:val="20"/>
          <w:szCs w:val="20"/>
          <w:highlight w:val="white"/>
        </w:rPr>
        <w:t xml:space="preserve">N.B. : Les candidats sont tenus de confirmer leur intérêt à participer à la visite du site en adressant un courriel à </w:t>
      </w:r>
      <w:hyperlink r:id="rId18" w:tooltip="mailto:lebanon.procurement@expertisefrance.fr" w:history="1">
        <w:r>
          <w:rPr>
            <w:rStyle w:val="1015"/>
            <w:rFonts w:asciiTheme="minorHAnsi" w:hAnsiTheme="minorHAnsi" w:cstheme="minorHAnsi"/>
            <w:sz w:val="20"/>
            <w:szCs w:val="20"/>
            <w:highlight w:val="white"/>
          </w:rPr>
          <w:t xml:space="preserve">lebanon.procurement@expertisefrance.fr</w:t>
        </w:r>
      </w:hyperlink>
      <w:r>
        <w:rPr>
          <w:rFonts w:asciiTheme="minorHAnsi" w:hAnsiTheme="minorHAnsi" w:cstheme="minorHAnsi"/>
          <w:sz w:val="20"/>
          <w:szCs w:val="20"/>
          <w:highlight w:val="white"/>
        </w:rPr>
        <w:t xml:space="preserve"> au plus tard le </w:t>
      </w:r>
      <w:r>
        <w:rPr>
          <w:rFonts w:asciiTheme="minorHAnsi" w:hAnsiTheme="minorHAnsi" w:cstheme="minorHAnsi"/>
          <w:sz w:val="20"/>
          <w:szCs w:val="20"/>
          <w:highlight w:val="white"/>
        </w:rPr>
        <w:t xml:space="preserve">29</w:t>
      </w:r>
      <w:r>
        <w:rPr>
          <w:rFonts w:asciiTheme="minorHAnsi" w:hAnsiTheme="minorHAnsi" w:cstheme="minorHAnsi"/>
          <w:sz w:val="20"/>
          <w:szCs w:val="20"/>
          <w:highlight w:val="white"/>
        </w:rPr>
        <w:t xml:space="preserve"> Avril 2026</w:t>
      </w:r>
      <w:r>
        <w:rPr>
          <w:rFonts w:asciiTheme="minorHAnsi" w:hAnsiTheme="minorHAnsi" w:cstheme="minorHAnsi"/>
          <w:sz w:val="20"/>
          <w:szCs w:val="20"/>
          <w:highlight w:val="white"/>
        </w:rPr>
        <w:t xml:space="preserve">.</w:t>
      </w:r>
      <w:r>
        <w:rPr>
          <w:rFonts w:asciiTheme="minorHAnsi" w:hAnsiTheme="minorHAnsi" w:cstheme="minorHAnsi"/>
          <w:sz w:val="20"/>
          <w:szCs w:val="20"/>
          <w:highlight w:val="white"/>
        </w:rPr>
      </w:r>
    </w:p>
    <w:p w14:paraId="3C3B87B4"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9D84DF3" w14:textId="77C523E9">
      <w:pPr>
        <w:numPr>
          <w:ilvl w:val="0"/>
          <w:numId w:val="1"/>
        </w:numPr>
        <w:pBdr/>
        <w:shd w:val="clear" w:color="auto" w:fill="e6e6e6"/>
        <w:tabs>
          <w:tab w:val="num" w:leader="none" w:pos="180"/>
          <w:tab w:val="clear" w:leader="none" w:pos="720"/>
        </w:tabs>
        <w:spacing/>
        <w:ind w:left="180"/>
        <w:rPr>
          <w:rFonts w:asciiTheme="minorHAnsi" w:hAnsiTheme="minorHAnsi" w:cstheme="minorHAnsi"/>
          <w:sz w:val="20"/>
          <w:szCs w:val="20"/>
        </w:rPr>
      </w:pPr>
      <w:r>
        <w:rPr>
          <w:rFonts w:asciiTheme="minorHAnsi" w:hAnsiTheme="minorHAnsi" w:cstheme="minorHAnsi"/>
          <w:b/>
          <w:bCs/>
          <w:sz w:val="20"/>
          <w:szCs w:val="20"/>
        </w:rPr>
        <w:t xml:space="preserve">Évaluation des offres et attribution</w:t>
      </w:r>
      <w:r>
        <w:rPr>
          <w:rFonts w:asciiTheme="minorHAnsi" w:hAnsiTheme="minorHAnsi" w:cstheme="minorHAnsi"/>
          <w:b/>
          <w:bCs/>
          <w:sz w:val="20"/>
          <w:szCs w:val="20"/>
        </w:rPr>
        <w:t xml:space="preserve"> :</w:t>
      </w:r>
      <w:r>
        <w:rPr>
          <w:rFonts w:asciiTheme="minorHAnsi" w:hAnsiTheme="minorHAnsi" w:cstheme="minorHAnsi"/>
          <w:sz w:val="20"/>
          <w:szCs w:val="20"/>
        </w:rPr>
      </w:r>
    </w:p>
    <w:p w14:paraId="0CE7AE17" w14:textId="77777777">
      <w:pPr>
        <w:pBdr/>
        <w:spacing/>
        <w:ind/>
        <w:rPr>
          <w:rFonts w:asciiTheme="minorHAnsi" w:hAnsiTheme="minorHAnsi" w:cstheme="minorHAnsi"/>
          <w:b/>
          <w:bCs/>
          <w:sz w:val="20"/>
          <w:szCs w:val="20"/>
        </w:rPr>
      </w:pPr>
      <w:r>
        <w:rPr>
          <w:rFonts w:asciiTheme="minorHAnsi" w:hAnsiTheme="minorHAnsi" w:cstheme="minorHAnsi"/>
          <w:b/>
          <w:bCs/>
          <w:sz w:val="20"/>
          <w:szCs w:val="20"/>
        </w:rPr>
      </w:r>
      <w:r>
        <w:rPr>
          <w:rFonts w:asciiTheme="minorHAnsi" w:hAnsiTheme="minorHAnsi" w:cstheme="minorHAnsi"/>
          <w:b/>
          <w:bCs/>
          <w:sz w:val="20"/>
          <w:szCs w:val="20"/>
        </w:rPr>
      </w:r>
    </w:p>
    <w:p w14:paraId="3447A5B3"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La procédure de sélection des offres est conduite par le Comité d’évaluation d’Expertise France conformément aux étapes suivantes :</w:t>
      </w:r>
      <w:r>
        <w:rPr>
          <w:rFonts w:asciiTheme="minorHAnsi" w:hAnsiTheme="minorHAnsi" w:cstheme="minorHAnsi"/>
          <w:sz w:val="20"/>
          <w:szCs w:val="20"/>
        </w:rPr>
      </w:r>
    </w:p>
    <w:p w14:paraId="3BAC9C5E"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7F7A1E8"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1) Rejet des offres tardives – Ouverture des plis</w:t>
      </w:r>
      <w:r>
        <w:rPr>
          <w:rFonts w:asciiTheme="minorHAnsi" w:hAnsiTheme="minorHAnsi" w:cstheme="minorHAnsi"/>
          <w:sz w:val="20"/>
          <w:szCs w:val="20"/>
        </w:rPr>
      </w:r>
    </w:p>
    <w:p w14:paraId="220B205E"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1FE57CE2"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Le Comité d’ouverture des plis (réuni en séance non publique) dresse la liste des offres reçues, de l’identité des soumissionnaires ainsi que de la composition des dossiers soumis.</w:t>
      </w:r>
      <w:r>
        <w:rPr>
          <w:rFonts w:asciiTheme="minorHAnsi" w:hAnsiTheme="minorHAnsi" w:cstheme="minorHAnsi"/>
          <w:sz w:val="20"/>
          <w:szCs w:val="20"/>
        </w:rPr>
      </w:r>
    </w:p>
    <w:p w14:paraId="41F4AF8F"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2FFE966"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Toute offre reçue après la date limite sera immédiatement rejetée.</w:t>
      </w:r>
      <w:r>
        <w:rPr>
          <w:rFonts w:asciiTheme="minorHAnsi" w:hAnsiTheme="minorHAnsi" w:cstheme="minorHAnsi"/>
          <w:sz w:val="20"/>
          <w:szCs w:val="20"/>
        </w:rPr>
      </w:r>
    </w:p>
    <w:p w14:paraId="0EA9CFD7"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3972028"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2) Analyse des offres</w:t>
      </w:r>
      <w:r>
        <w:rPr>
          <w:rFonts w:asciiTheme="minorHAnsi" w:hAnsiTheme="minorHAnsi" w:cstheme="minorHAnsi"/>
          <w:sz w:val="20"/>
          <w:szCs w:val="20"/>
        </w:rPr>
      </w:r>
    </w:p>
    <w:p w14:paraId="77B96915"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1F014092"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Après avoir vérifié que les offres reçues sont conformes, recevables et appropriées, le Comité d’évaluation procède à leur analyse selon les critères définis ci-après.</w:t>
      </w:r>
      <w:r>
        <w:rPr>
          <w:rFonts w:asciiTheme="minorHAnsi" w:hAnsiTheme="minorHAnsi" w:cstheme="minorHAnsi"/>
          <w:sz w:val="20"/>
          <w:szCs w:val="20"/>
        </w:rPr>
      </w:r>
    </w:p>
    <w:p w14:paraId="0E16D0EC"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1C59A3D6"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3) Rejet des offres non conformes, irrecevables ou inappropriées</w:t>
      </w:r>
      <w:r>
        <w:rPr>
          <w:rFonts w:asciiTheme="minorHAnsi" w:hAnsiTheme="minorHAnsi" w:cstheme="minorHAnsi"/>
          <w:sz w:val="20"/>
          <w:szCs w:val="20"/>
        </w:rPr>
      </w:r>
    </w:p>
    <w:p w14:paraId="35EF01C3"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D237872"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Le Comité d’évaluation examine l’ensemble des offres reçues et, c</w:t>
      </w:r>
      <w:r>
        <w:rPr>
          <w:rFonts w:asciiTheme="minorHAnsi" w:hAnsiTheme="minorHAnsi" w:cstheme="minorHAnsi"/>
          <w:sz w:val="20"/>
          <w:szCs w:val="20"/>
        </w:rPr>
        <w:t xml:space="preserve">onformément à l’article R.2152-1 du Code français de la commande publique, rejette les offres jugées non conformes, irrecevables ou inappropriées, le cas échéant, après mise en œuvre de la procédure de régularisation prévue à l’article R.2152-2 dudit Code.</w:t>
      </w:r>
      <w:r>
        <w:rPr>
          <w:rFonts w:asciiTheme="minorHAnsi" w:hAnsiTheme="minorHAnsi" w:cstheme="minorHAnsi"/>
          <w:sz w:val="20"/>
          <w:szCs w:val="20"/>
        </w:rPr>
      </w:r>
    </w:p>
    <w:p w14:paraId="44D088C0"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0F1B17B4"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4) Comparaison des offres et sélection de l’offre économiquement la plus avantageuse</w:t>
      </w:r>
      <w:r>
        <w:rPr>
          <w:rFonts w:asciiTheme="minorHAnsi" w:hAnsiTheme="minorHAnsi" w:cstheme="minorHAnsi"/>
          <w:sz w:val="20"/>
          <w:szCs w:val="20"/>
        </w:rPr>
      </w:r>
    </w:p>
    <w:p w14:paraId="1D6901BA"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0F2B79A0" w14:textId="6073EBEC">
      <w:pPr>
        <w:pBdr/>
        <w:spacing/>
        <w:ind/>
        <w:rPr>
          <w:rFonts w:asciiTheme="minorHAnsi" w:hAnsiTheme="minorHAnsi" w:cstheme="minorHAnsi"/>
          <w:sz w:val="20"/>
          <w:szCs w:val="20"/>
        </w:rPr>
      </w:pPr>
      <w:r>
        <w:rPr>
          <w:rFonts w:asciiTheme="minorHAnsi" w:hAnsiTheme="minorHAnsi" w:cstheme="minorHAnsi"/>
          <w:sz w:val="20"/>
          <w:szCs w:val="20"/>
        </w:rPr>
        <w:t xml:space="preserve">Les offres seront évaluées séparément selon les critères ci-dessous, chaque critère donnant lieu à l’attribution d’un nombre maximal de points tel que précisé ci-après :</w:t>
      </w:r>
      <w:r>
        <w:rPr>
          <w:rFonts w:asciiTheme="minorHAnsi" w:hAnsiTheme="minorHAnsi" w:cstheme="minorHAnsi"/>
          <w:sz w:val="20"/>
          <w:szCs w:val="20"/>
        </w:rPr>
      </w:r>
    </w:p>
    <w:p w14:paraId="22C73D7A"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78422ACC" w14:textId="77777777">
      <w:pPr>
        <w:pBdr/>
        <w:spacing/>
        <w:ind/>
        <w:rPr>
          <w:rFonts w:asciiTheme="minorHAnsi" w:hAnsiTheme="minorHAnsi" w:cstheme="minorHAnsi"/>
          <w:sz w:val="20"/>
          <w:szCs w:val="20"/>
        </w:rPr>
      </w:pPr>
      <w:r>
        <w:rPr>
          <w:rFonts w:asciiTheme="minorHAnsi" w:hAnsiTheme="minorHAnsi" w:cstheme="minorHAnsi"/>
          <w:b/>
          <w:bCs/>
          <w:sz w:val="20"/>
          <w:szCs w:val="20"/>
        </w:rPr>
        <w:t xml:space="preserve">Critère 1 :</w:t>
      </w:r>
      <w:r>
        <w:rPr>
          <w:rFonts w:asciiTheme="minorHAnsi" w:hAnsiTheme="minorHAnsi" w:cstheme="minorHAnsi"/>
          <w:sz w:val="20"/>
          <w:szCs w:val="20"/>
        </w:rPr>
        <w:t xml:space="preserve"> </w:t>
      </w:r>
      <w:r>
        <w:rPr>
          <w:rFonts w:asciiTheme="minorHAnsi" w:hAnsiTheme="minorHAnsi" w:cstheme="minorHAnsi"/>
          <w:b/>
          <w:bCs/>
          <w:sz w:val="20"/>
          <w:szCs w:val="20"/>
        </w:rPr>
        <w:t xml:space="preserve">Prix des prestations</w:t>
      </w:r>
      <w:r>
        <w:rPr>
          <w:rFonts w:asciiTheme="minorHAnsi" w:hAnsiTheme="minorHAnsi" w:cstheme="minorHAnsi"/>
          <w:sz w:val="20"/>
          <w:szCs w:val="20"/>
        </w:rPr>
      </w:r>
    </w:p>
    <w:p w14:paraId="1D70C58E"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A56AA76" w14:textId="0A578C5D">
      <w:pPr>
        <w:pBdr/>
        <w:spacing/>
        <w:ind/>
        <w:rPr>
          <w:rFonts w:asciiTheme="minorHAnsi" w:hAnsiTheme="minorHAnsi" w:cstheme="minorHAnsi"/>
          <w:sz w:val="20"/>
          <w:szCs w:val="20"/>
        </w:rPr>
      </w:pPr>
      <w:r>
        <w:rPr>
          <w:rFonts w:asciiTheme="minorHAnsi" w:hAnsiTheme="minorHAnsi" w:cstheme="minorHAnsi"/>
          <w:sz w:val="20"/>
          <w:szCs w:val="20"/>
        </w:rPr>
        <w:t xml:space="preserve">La note financière (NF sur un maximum de 40 points) portera sur la comparaison des offres financières des candidats ayant soumis une offre conforme.</w:t>
      </w:r>
      <w:r>
        <w:rPr>
          <w:rFonts w:asciiTheme="minorHAnsi" w:hAnsiTheme="minorHAnsi" w:cstheme="minorHAnsi"/>
          <w:sz w:val="20"/>
          <w:szCs w:val="20"/>
        </w:rPr>
      </w:r>
    </w:p>
    <w:p w14:paraId="2002FD00" w14:textId="77777777">
      <w:pPr>
        <w:pBdr/>
        <w:spacing/>
        <w:ind/>
        <w:rPr>
          <w:rFonts w:asciiTheme="minorHAnsi" w:hAnsiTheme="minorHAnsi" w:cstheme="minorHAnsi"/>
          <w:i/>
          <w:iCs/>
          <w:sz w:val="20"/>
          <w:szCs w:val="20"/>
        </w:rPr>
      </w:pPr>
      <w:r>
        <w:rPr>
          <w:rFonts w:asciiTheme="minorHAnsi" w:hAnsiTheme="minorHAnsi" w:cstheme="minorHAnsi"/>
          <w:i/>
          <w:iCs/>
          <w:sz w:val="20"/>
          <w:szCs w:val="20"/>
        </w:rPr>
      </w:r>
      <w:r>
        <w:rPr>
          <w:rFonts w:asciiTheme="minorHAnsi" w:hAnsiTheme="minorHAnsi" w:cstheme="minorHAnsi"/>
          <w:i/>
          <w:iCs/>
          <w:sz w:val="20"/>
          <w:szCs w:val="20"/>
        </w:rPr>
      </w:r>
    </w:p>
    <w:p w14:paraId="488251BF" w14:textId="77777777">
      <w:pPr>
        <w:pBdr/>
        <w:spacing/>
        <w:ind/>
        <w:rPr>
          <w:rFonts w:asciiTheme="minorHAnsi" w:hAnsiTheme="minorHAnsi" w:cstheme="minorHAnsi"/>
          <w:b/>
          <w:bCs/>
          <w:sz w:val="20"/>
          <w:szCs w:val="20"/>
        </w:rPr>
      </w:pPr>
      <w:r>
        <w:rPr>
          <w:rFonts w:asciiTheme="minorHAnsi" w:hAnsiTheme="minorHAnsi" w:cstheme="minorHAnsi"/>
          <w:b/>
          <w:bCs/>
          <w:sz w:val="20"/>
          <w:szCs w:val="20"/>
        </w:rPr>
        <w:t xml:space="preserve">Critère 2 : Offre technique</w:t>
      </w:r>
      <w:r>
        <w:rPr>
          <w:rFonts w:asciiTheme="minorHAnsi" w:hAnsiTheme="minorHAnsi" w:cstheme="minorHAnsi"/>
          <w:b/>
          <w:bCs/>
          <w:sz w:val="20"/>
          <w:szCs w:val="20"/>
        </w:rPr>
      </w:r>
    </w:p>
    <w:p w14:paraId="4A86FA75"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6FAB753C" w14:textId="37432DD3">
      <w:pPr>
        <w:pBdr/>
        <w:spacing/>
        <w:ind/>
        <w:rPr>
          <w:rFonts w:asciiTheme="minorHAnsi" w:hAnsiTheme="minorHAnsi" w:cstheme="minorHAnsi"/>
          <w:sz w:val="20"/>
          <w:szCs w:val="20"/>
        </w:rPr>
      </w:pPr>
      <w:r>
        <w:rPr>
          <w:rFonts w:asciiTheme="minorHAnsi" w:hAnsiTheme="minorHAnsi" w:cstheme="minorHAnsi"/>
          <w:sz w:val="20"/>
          <w:szCs w:val="20"/>
        </w:rPr>
        <w:t xml:space="preserve">Le soumissionnaire devra disposer au sein de son équipe d’un ingénieur électricien et d’un ingénieur en génie civil.</w:t>
      </w:r>
      <w:r>
        <w:rPr>
          <w:rFonts w:asciiTheme="minorHAnsi" w:hAnsiTheme="minorHAnsi" w:cstheme="minorHAnsi"/>
          <w:sz w:val="20"/>
          <w:szCs w:val="20"/>
        </w:rPr>
      </w:r>
    </w:p>
    <w:p w14:paraId="40CFB693" w14:textId="77777777">
      <w:pPr>
        <w:pBdr/>
        <w:spacing/>
        <w:ind/>
        <w:rPr>
          <w:rFonts w:asciiTheme="minorHAnsi" w:hAnsiTheme="minorHAnsi" w:cstheme="minorHAnsi"/>
          <w:i/>
          <w:iCs/>
          <w:sz w:val="20"/>
          <w:szCs w:val="20"/>
        </w:rPr>
      </w:pPr>
      <w:r>
        <w:rPr>
          <w:rFonts w:asciiTheme="minorHAnsi" w:hAnsiTheme="minorHAnsi" w:cstheme="minorHAnsi"/>
          <w:i/>
          <w:iCs/>
          <w:sz w:val="20"/>
          <w:szCs w:val="20"/>
        </w:rPr>
      </w:r>
      <w:r>
        <w:rPr>
          <w:rFonts w:asciiTheme="minorHAnsi" w:hAnsiTheme="minorHAnsi" w:cstheme="minorHAnsi"/>
          <w:i/>
          <w:iCs/>
          <w:sz w:val="20"/>
          <w:szCs w:val="20"/>
        </w:rPr>
      </w:r>
    </w:p>
    <w:tbl>
      <w:tblPr>
        <w:tblW w:w="9056" w:type="dxa"/>
        <w:tblCellMar>
          <w:left w:w="0" w:type="dxa"/>
          <w:right w:w="0" w:type="dxa"/>
        </w:tblCellMar>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6022"/>
        <w:gridCol w:w="3034"/>
      </w:tblGrid>
      <w:tr>
        <w:trPr>
          <w:trHeight w:val="300"/>
        </w:trPr>
        <w:tc>
          <w:tcPr>
            <w:shd w:val="clear" w:color="auto" w:fill="1f497d" w:themeFill="text2"/>
            <w:tcBorders>
              <w:top w:val="single" w:color="auto" w:sz="6" w:space="0"/>
              <w:left w:val="single" w:color="auto" w:sz="6" w:space="0"/>
              <w:bottom w:val="single" w:color="auto" w:sz="6" w:space="0"/>
              <w:right w:val="single" w:color="auto" w:sz="6" w:space="0"/>
            </w:tcBorders>
            <w:tcW w:w="6022" w:type="dxa"/>
            <w:textDirection w:val="lrTb"/>
            <w:noWrap w:val="false"/>
          </w:tcPr>
          <w:p w14:paraId="2F532B90" w14:textId="6936B622">
            <w:pPr>
              <w:pBdr/>
              <w:spacing/>
              <w:ind/>
              <w:rPr>
                <w:rFonts w:asciiTheme="minorHAnsi" w:hAnsiTheme="minorHAnsi" w:cstheme="minorHAnsi"/>
                <w:b/>
                <w:bCs/>
                <w:color w:val="ffffff" w:themeColor="background1"/>
                <w:sz w:val="20"/>
                <w:szCs w:val="20"/>
              </w:rPr>
            </w:pPr>
            <w:r>
              <w:rPr>
                <w:rFonts w:asciiTheme="minorHAnsi" w:hAnsiTheme="minorHAnsi" w:cstheme="minorHAnsi"/>
                <w:sz w:val="20"/>
                <w:szCs w:val="20"/>
              </w:rPr>
              <w:t xml:space="preserve"> </w:t>
            </w:r>
            <w:r>
              <w:rPr>
                <w:rFonts w:asciiTheme="minorHAnsi" w:hAnsiTheme="minorHAnsi" w:cstheme="minorHAnsi"/>
                <w:b/>
                <w:bCs/>
                <w:color w:val="ffffff" w:themeColor="background1"/>
                <w:sz w:val="20"/>
                <w:szCs w:val="20"/>
              </w:rPr>
              <w:t xml:space="preserve">Sous-critères d’évaluation de la qualité technique</w:t>
            </w:r>
            <w:r>
              <w:rPr>
                <w:rFonts w:asciiTheme="minorHAnsi" w:hAnsiTheme="minorHAnsi" w:cstheme="minorHAnsi"/>
                <w:b/>
                <w:bCs/>
                <w:color w:val="ffffff" w:themeColor="background1"/>
                <w:sz w:val="20"/>
                <w:szCs w:val="20"/>
              </w:rPr>
            </w:r>
          </w:p>
        </w:tc>
        <w:tc>
          <w:tcPr>
            <w:shd w:val="clear" w:color="auto" w:fill="1f497d" w:themeFill="text2"/>
            <w:tcBorders>
              <w:top w:val="single" w:color="auto" w:sz="6" w:space="0"/>
              <w:left w:val="single" w:color="auto" w:sz="6" w:space="0"/>
              <w:bottom w:val="single" w:color="auto" w:sz="6" w:space="0"/>
              <w:right w:val="single" w:color="auto" w:sz="6" w:space="0"/>
            </w:tcBorders>
            <w:tcW w:w="3034" w:type="dxa"/>
            <w:textDirection w:val="lrTb"/>
            <w:noWrap w:val="false"/>
          </w:tcPr>
          <w:p w14:paraId="24BB04C3" w14:textId="0EE06E1A">
            <w:pPr>
              <w:pBdr/>
              <w:spacing/>
              <w:ind/>
              <w:rPr>
                <w:rFonts w:asciiTheme="minorHAnsi" w:hAnsiTheme="minorHAnsi" w:cstheme="minorHAnsi"/>
                <w:b/>
                <w:bCs/>
                <w:color w:val="ffffff" w:themeColor="background1"/>
                <w:sz w:val="20"/>
                <w:szCs w:val="20"/>
              </w:rPr>
            </w:pPr>
            <w:r>
              <w:rPr>
                <w:rFonts w:asciiTheme="minorHAnsi" w:hAnsiTheme="minorHAnsi" w:cstheme="minorHAnsi"/>
                <w:b/>
                <w:bCs/>
                <w:color w:val="ffffff" w:themeColor="background1"/>
                <w:sz w:val="20"/>
                <w:szCs w:val="20"/>
              </w:rPr>
              <w:t xml:space="preserve">Nombre maximal de points</w:t>
            </w:r>
            <w:r>
              <w:rPr>
                <w:rFonts w:asciiTheme="minorHAnsi" w:hAnsiTheme="minorHAnsi" w:cstheme="minorHAnsi"/>
                <w:b/>
                <w:bCs/>
                <w:color w:val="ffffff" w:themeColor="background1"/>
                <w:sz w:val="20"/>
                <w:szCs w:val="20"/>
              </w:rPr>
            </w:r>
          </w:p>
        </w:tc>
      </w:tr>
      <w:tr>
        <w:trPr>
          <w:trHeight w:val="300"/>
        </w:trPr>
        <w:tc>
          <w:tcPr>
            <w:tcBorders>
              <w:top w:val="single" w:color="auto" w:sz="6" w:space="0"/>
              <w:left w:val="single" w:color="auto" w:sz="6" w:space="0"/>
              <w:bottom w:val="single" w:color="auto" w:sz="6" w:space="0"/>
              <w:right w:val="single" w:color="auto" w:sz="6" w:space="0"/>
            </w:tcBorders>
            <w:tcW w:w="6022" w:type="dxa"/>
            <w:textDirection w:val="lrTb"/>
            <w:noWrap w:val="false"/>
          </w:tcPr>
          <w:p w14:paraId="1B6B93E4" w14:textId="272C0F6B">
            <w:pPr>
              <w:pBdr/>
              <w:spacing/>
              <w:ind/>
              <w:rPr>
                <w:rFonts w:asciiTheme="minorHAnsi" w:hAnsiTheme="minorHAnsi" w:cstheme="minorHAnsi"/>
                <w:sz w:val="20"/>
                <w:szCs w:val="20"/>
              </w:rPr>
            </w:pPr>
            <w:r>
              <w:rPr>
                <w:rFonts w:asciiTheme="minorHAnsi" w:hAnsiTheme="minorHAnsi" w:cstheme="minorHAnsi"/>
                <w:sz w:val="20"/>
                <w:szCs w:val="20"/>
              </w:rPr>
              <w:t xml:space="preserve">Sous-critère 1 : Qualité des matériaux proposés</w:t>
            </w:r>
            <w:r>
              <w:rPr>
                <w:rFonts w:asciiTheme="minorHAnsi" w:hAnsiTheme="minorHAnsi" w:cstheme="minorHAnsi"/>
                <w:sz w:val="20"/>
                <w:szCs w:val="20"/>
              </w:rPr>
            </w:r>
          </w:p>
        </w:tc>
        <w:tc>
          <w:tcPr>
            <w:tcBorders>
              <w:top w:val="single" w:color="auto" w:sz="6" w:space="0"/>
              <w:left w:val="single" w:color="auto" w:sz="6" w:space="0"/>
              <w:bottom w:val="single" w:color="auto" w:sz="6" w:space="0"/>
              <w:right w:val="single" w:color="auto" w:sz="6" w:space="0"/>
            </w:tcBorders>
            <w:tcW w:w="3034" w:type="dxa"/>
            <w:textDirection w:val="lrTb"/>
            <w:noWrap w:val="false"/>
          </w:tcPr>
          <w:p w14:paraId="09155CE9"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25 </w:t>
            </w:r>
            <w:r>
              <w:rPr>
                <w:rFonts w:asciiTheme="minorHAnsi" w:hAnsiTheme="minorHAnsi" w:cstheme="minorHAnsi"/>
                <w:sz w:val="20"/>
                <w:szCs w:val="20"/>
              </w:rPr>
            </w:r>
          </w:p>
        </w:tc>
      </w:tr>
      <w:tr>
        <w:trPr>
          <w:trHeight w:val="300"/>
        </w:trPr>
        <w:tc>
          <w:tcPr>
            <w:tcBorders>
              <w:top w:val="single" w:color="auto" w:sz="6" w:space="0"/>
              <w:left w:val="single" w:color="auto" w:sz="6" w:space="0"/>
              <w:bottom w:val="single" w:color="auto" w:sz="6" w:space="0"/>
              <w:right w:val="single" w:color="auto" w:sz="6" w:space="0"/>
            </w:tcBorders>
            <w:tcW w:w="6022" w:type="dxa"/>
            <w:textDirection w:val="lrTb"/>
            <w:noWrap w:val="false"/>
          </w:tcPr>
          <w:p w14:paraId="1788D8AD" w14:textId="0A6A8DEE">
            <w:pPr>
              <w:pBdr/>
              <w:spacing/>
              <w:ind/>
              <w:rPr>
                <w:rFonts w:asciiTheme="minorHAnsi" w:hAnsiTheme="minorHAnsi" w:cstheme="minorHAnsi"/>
                <w:sz w:val="20"/>
                <w:szCs w:val="20"/>
              </w:rPr>
            </w:pPr>
            <w:r>
              <w:rPr>
                <w:rFonts w:asciiTheme="minorHAnsi" w:hAnsiTheme="minorHAnsi" w:cstheme="minorHAnsi"/>
                <w:sz w:val="20"/>
                <w:szCs w:val="20"/>
              </w:rPr>
              <w:t xml:space="preserve">Sous-critère 2 : Garanties offertes (garantie et performance)</w:t>
            </w:r>
            <w:r>
              <w:rPr>
                <w:rFonts w:asciiTheme="minorHAnsi" w:hAnsiTheme="minorHAnsi" w:cstheme="minorHAnsi"/>
                <w:sz w:val="20"/>
                <w:szCs w:val="20"/>
              </w:rPr>
            </w:r>
          </w:p>
        </w:tc>
        <w:tc>
          <w:tcPr>
            <w:tcBorders>
              <w:top w:val="single" w:color="auto" w:sz="6" w:space="0"/>
              <w:left w:val="single" w:color="auto" w:sz="6" w:space="0"/>
              <w:bottom w:val="single" w:color="auto" w:sz="6" w:space="0"/>
              <w:right w:val="single" w:color="auto" w:sz="6" w:space="0"/>
            </w:tcBorders>
            <w:tcW w:w="3034" w:type="dxa"/>
            <w:textDirection w:val="lrTb"/>
            <w:noWrap w:val="false"/>
          </w:tcPr>
          <w:p w14:paraId="77ED35FE"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15 </w:t>
            </w:r>
            <w:r>
              <w:rPr>
                <w:rFonts w:asciiTheme="minorHAnsi" w:hAnsiTheme="minorHAnsi" w:cstheme="minorHAnsi"/>
                <w:sz w:val="20"/>
                <w:szCs w:val="20"/>
              </w:rPr>
            </w:r>
          </w:p>
        </w:tc>
      </w:tr>
      <w:tr>
        <w:trPr>
          <w:trHeight w:val="300"/>
        </w:trPr>
        <w:tc>
          <w:tcPr>
            <w:tcBorders>
              <w:top w:val="single" w:color="auto" w:sz="6" w:space="0"/>
              <w:left w:val="single" w:color="auto" w:sz="6" w:space="0"/>
              <w:bottom w:val="single" w:color="auto" w:sz="6" w:space="0"/>
              <w:right w:val="single" w:color="auto" w:sz="6" w:space="0"/>
            </w:tcBorders>
            <w:tcW w:w="6022" w:type="dxa"/>
            <w:textDirection w:val="lrTb"/>
            <w:noWrap w:val="false"/>
          </w:tcPr>
          <w:p w14:paraId="63CAB9E4" w14:textId="6F4A17D6">
            <w:pPr>
              <w:pBdr/>
              <w:spacing/>
              <w:ind/>
              <w:rPr>
                <w:rFonts w:asciiTheme="minorHAnsi" w:hAnsiTheme="minorHAnsi" w:cstheme="minorHAnsi"/>
                <w:sz w:val="20"/>
                <w:szCs w:val="20"/>
              </w:rPr>
            </w:pPr>
            <w:r>
              <w:rPr>
                <w:rFonts w:asciiTheme="minorHAnsi" w:hAnsiTheme="minorHAnsi" w:cstheme="minorHAnsi"/>
                <w:sz w:val="20"/>
                <w:szCs w:val="20"/>
              </w:rPr>
              <w:t xml:space="preserve">Sous-critère 3 : Planning d’installation (rapidité et efficacité)</w:t>
            </w:r>
            <w:r>
              <w:rPr>
                <w:rFonts w:asciiTheme="minorHAnsi" w:hAnsiTheme="minorHAnsi" w:cstheme="minorHAnsi"/>
                <w:sz w:val="20"/>
                <w:szCs w:val="20"/>
              </w:rPr>
            </w:r>
          </w:p>
        </w:tc>
        <w:tc>
          <w:tcPr>
            <w:tcBorders>
              <w:top w:val="single" w:color="auto" w:sz="6" w:space="0"/>
              <w:left w:val="single" w:color="auto" w:sz="6" w:space="0"/>
              <w:bottom w:val="single" w:color="auto" w:sz="6" w:space="0"/>
              <w:right w:val="single" w:color="auto" w:sz="6" w:space="0"/>
            </w:tcBorders>
            <w:tcW w:w="3034" w:type="dxa"/>
            <w:textDirection w:val="lrTb"/>
            <w:noWrap w:val="false"/>
          </w:tcPr>
          <w:p w14:paraId="734A5D41"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20 </w:t>
            </w:r>
            <w:r>
              <w:rPr>
                <w:rFonts w:asciiTheme="minorHAnsi" w:hAnsiTheme="minorHAnsi" w:cstheme="minorHAnsi"/>
                <w:sz w:val="20"/>
                <w:szCs w:val="20"/>
              </w:rPr>
            </w:r>
          </w:p>
        </w:tc>
      </w:tr>
      <w:tr>
        <w:trPr>
          <w:trHeight w:val="300"/>
        </w:trPr>
        <w:tc>
          <w:tcPr>
            <w:tcBorders>
              <w:top w:val="single" w:color="auto" w:sz="6" w:space="0"/>
              <w:left w:val="single" w:color="auto" w:sz="6" w:space="0"/>
              <w:bottom w:val="single" w:color="auto" w:sz="6" w:space="0"/>
              <w:right w:val="single" w:color="auto" w:sz="6" w:space="0"/>
            </w:tcBorders>
            <w:tcW w:w="6022" w:type="dxa"/>
            <w:textDirection w:val="lrTb"/>
            <w:noWrap w:val="false"/>
          </w:tcPr>
          <w:p w14:paraId="21EA8D47" w14:textId="77777777">
            <w:pPr>
              <w:pBdr/>
              <w:spacing/>
              <w:ind/>
              <w:rPr>
                <w:rFonts w:asciiTheme="minorHAnsi" w:hAnsiTheme="minorHAnsi" w:cstheme="minorHAnsi"/>
                <w:b/>
                <w:bCs/>
                <w:sz w:val="20"/>
                <w:szCs w:val="20"/>
              </w:rPr>
            </w:pPr>
            <w:r>
              <w:rPr>
                <w:rFonts w:asciiTheme="minorHAnsi" w:hAnsiTheme="minorHAnsi" w:cstheme="minorHAnsi"/>
                <w:b/>
                <w:bCs/>
                <w:sz w:val="20"/>
                <w:szCs w:val="20"/>
              </w:rPr>
              <w:t xml:space="preserve">TOTAL </w:t>
            </w:r>
            <w:r>
              <w:rPr>
                <w:rFonts w:asciiTheme="minorHAnsi" w:hAnsiTheme="minorHAnsi" w:cstheme="minorHAnsi"/>
                <w:b/>
                <w:bCs/>
                <w:sz w:val="20"/>
                <w:szCs w:val="20"/>
              </w:rPr>
            </w:r>
          </w:p>
        </w:tc>
        <w:tc>
          <w:tcPr>
            <w:tcBorders>
              <w:top w:val="single" w:color="auto" w:sz="6" w:space="0"/>
              <w:left w:val="single" w:color="auto" w:sz="6" w:space="0"/>
              <w:bottom w:val="single" w:color="auto" w:sz="6" w:space="0"/>
              <w:right w:val="single" w:color="auto" w:sz="6" w:space="0"/>
            </w:tcBorders>
            <w:tcW w:w="3034" w:type="dxa"/>
            <w:textDirection w:val="lrTb"/>
            <w:noWrap w:val="false"/>
          </w:tcPr>
          <w:p w14:paraId="3E3AA420" w14:textId="77777777">
            <w:pPr>
              <w:pBdr/>
              <w:spacing/>
              <w:ind/>
              <w:rPr>
                <w:rFonts w:asciiTheme="minorHAnsi" w:hAnsiTheme="minorHAnsi" w:cstheme="minorHAnsi"/>
                <w:b/>
                <w:bCs/>
                <w:sz w:val="20"/>
                <w:szCs w:val="20"/>
              </w:rPr>
            </w:pPr>
            <w:r>
              <w:rPr>
                <w:rFonts w:asciiTheme="minorHAnsi" w:hAnsiTheme="minorHAnsi" w:cstheme="minorHAnsi"/>
                <w:b/>
                <w:bCs/>
                <w:sz w:val="20"/>
                <w:szCs w:val="20"/>
              </w:rPr>
              <w:t xml:space="preserve">60 </w:t>
            </w:r>
            <w:r>
              <w:rPr>
                <w:rFonts w:asciiTheme="minorHAnsi" w:hAnsiTheme="minorHAnsi" w:cstheme="minorHAnsi"/>
                <w:b/>
                <w:bCs/>
                <w:sz w:val="20"/>
                <w:szCs w:val="20"/>
              </w:rPr>
            </w:r>
          </w:p>
        </w:tc>
      </w:tr>
    </w:tbl>
    <w:p w14:paraId="15274244" w14:textId="77777777">
      <w:pPr>
        <w:pBdr/>
        <w:spacing/>
        <w:ind/>
        <w:rPr>
          <w:rFonts w:asciiTheme="minorHAnsi" w:hAnsiTheme="minorHAnsi" w:cstheme="minorHAnsi"/>
          <w:sz w:val="20"/>
          <w:szCs w:val="20"/>
          <w:lang w:val="en-US"/>
        </w:rPr>
      </w:pPr>
      <w:r>
        <w:rPr>
          <w:rFonts w:asciiTheme="minorHAnsi" w:hAnsiTheme="minorHAnsi" w:cstheme="minorHAnsi"/>
          <w:sz w:val="20"/>
          <w:szCs w:val="20"/>
          <w:lang w:val="en-US"/>
        </w:rPr>
      </w:r>
      <w:r>
        <w:rPr>
          <w:rFonts w:asciiTheme="minorHAnsi" w:hAnsiTheme="minorHAnsi" w:cstheme="minorHAnsi"/>
          <w:sz w:val="20"/>
          <w:szCs w:val="20"/>
          <w:lang w:val="en-US"/>
        </w:rPr>
      </w:r>
    </w:p>
    <w:p w14:paraId="5EBE8EB7" w14:textId="77777777">
      <w:pPr>
        <w:pBdr/>
        <w:spacing/>
        <w:ind/>
        <w:rPr>
          <w:rFonts w:asciiTheme="minorHAnsi" w:hAnsiTheme="minorHAnsi" w:cstheme="minorHAnsi"/>
          <w:sz w:val="20"/>
          <w:szCs w:val="20"/>
        </w:rPr>
      </w:pPr>
      <w:r>
        <w:rPr>
          <w:rFonts w:asciiTheme="minorHAnsi" w:hAnsiTheme="minorHAnsi" w:cstheme="minorHAnsi"/>
          <w:sz w:val="20"/>
          <w:szCs w:val="20"/>
        </w:rPr>
        <w:t xml:space="preserve">Chaque offre technique jugée conforme fera l’objet d’une note technique (NT sur un maximum de 60 points), correspondant à la somme des notes pondérées obtenues pour chaque sous-critère.</w:t>
      </w:r>
      <w:r>
        <w:rPr>
          <w:rFonts w:asciiTheme="minorHAnsi" w:hAnsiTheme="minorHAnsi" w:cstheme="minorHAnsi"/>
          <w:sz w:val="20"/>
          <w:szCs w:val="20"/>
        </w:rPr>
      </w:r>
    </w:p>
    <w:p w14:paraId="4F75E54F"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CF4A5F4" w14:textId="78EAF7F0">
      <w:pPr>
        <w:pBdr/>
        <w:spacing/>
        <w:ind/>
        <w:rPr>
          <w:rFonts w:asciiTheme="minorHAnsi" w:hAnsiTheme="minorHAnsi" w:cstheme="minorHAnsi"/>
          <w:sz w:val="20"/>
          <w:szCs w:val="20"/>
        </w:rPr>
      </w:pPr>
      <w:r>
        <w:rPr>
          <w:rFonts w:asciiTheme="minorHAnsi" w:hAnsiTheme="minorHAnsi" w:cstheme="minorHAnsi"/>
          <w:sz w:val="20"/>
          <w:szCs w:val="20"/>
        </w:rPr>
        <w:t xml:space="preserve">Toute offre ayant obtenu une note technique inférieure à 40/60 sera considérée comme inappropriée.</w:t>
      </w:r>
      <w:r>
        <w:rPr>
          <w:rFonts w:asciiTheme="minorHAnsi" w:hAnsiTheme="minorHAnsi" w:cstheme="minorHAnsi"/>
          <w:sz w:val="20"/>
          <w:szCs w:val="20"/>
        </w:rPr>
      </w:r>
    </w:p>
    <w:p w14:paraId="5659537E" w14:textId="77777777">
      <w:pPr>
        <w:pBdr/>
        <w:spacing/>
        <w:ind/>
        <w:rPr>
          <w:rFonts w:asciiTheme="minorHAnsi" w:hAnsiTheme="minorHAnsi" w:cstheme="minorHAnsi"/>
          <w:sz w:val="20"/>
          <w:szCs w:val="20"/>
        </w:rPr>
      </w:pPr>
      <w:r>
        <w:rPr>
          <w:rFonts w:asciiTheme="minorHAnsi" w:hAnsiTheme="minorHAnsi" w:cstheme="minorHAnsi"/>
          <w:sz w:val="20"/>
          <w:szCs w:val="20"/>
        </w:rPr>
      </w:r>
      <w:r>
        <w:rPr>
          <w:rFonts w:asciiTheme="minorHAnsi" w:hAnsiTheme="minorHAnsi" w:cstheme="minorHAnsi"/>
          <w:sz w:val="20"/>
          <w:szCs w:val="20"/>
        </w:rPr>
      </w:r>
    </w:p>
    <w:p w14:paraId="266C4D59" w14:textId="528FC835">
      <w:pPr>
        <w:numPr>
          <w:ilvl w:val="0"/>
          <w:numId w:val="1"/>
        </w:numPr>
        <w:pBdr/>
        <w:shd w:val="clear" w:color="auto" w:fill="e6e6e6"/>
        <w:tabs>
          <w:tab w:val="num" w:leader="none" w:pos="180"/>
          <w:tab w:val="clear" w:leader="none" w:pos="720"/>
        </w:tabs>
        <w:spacing/>
        <w:ind w:left="180"/>
        <w:rPr>
          <w:rFonts w:asciiTheme="minorHAnsi" w:hAnsiTheme="minorHAnsi" w:cstheme="minorHAnsi"/>
          <w:sz w:val="20"/>
          <w:szCs w:val="20"/>
        </w:rPr>
      </w:pPr>
      <w:r>
        <w:rPr>
          <w:rFonts w:asciiTheme="minorHAnsi" w:hAnsiTheme="minorHAnsi" w:cstheme="minorHAnsi"/>
          <w:b/>
          <w:bCs/>
          <w:sz w:val="20"/>
          <w:szCs w:val="20"/>
        </w:rPr>
        <w:t xml:space="preserve">Candidatures</w:t>
      </w:r>
      <w:r>
        <w:rPr>
          <w:rFonts w:asciiTheme="minorHAnsi" w:hAnsiTheme="minorHAnsi" w:cstheme="minorHAnsi"/>
          <w:sz w:val="20"/>
          <w:szCs w:val="20"/>
        </w:rPr>
      </w:r>
    </w:p>
    <w:p w14:paraId="23E01551" w14:textId="77777777">
      <w:pPr>
        <w:pBdr/>
        <w:spacing/>
        <w:ind w:left="708"/>
        <w:rPr>
          <w:rFonts w:asciiTheme="minorHAnsi" w:hAnsiTheme="minorHAnsi" w:cstheme="minorHAnsi"/>
          <w:b/>
          <w:bCs/>
          <w:sz w:val="20"/>
          <w:szCs w:val="20"/>
        </w:rPr>
      </w:pPr>
      <w:r>
        <w:rPr>
          <w:rFonts w:asciiTheme="minorHAnsi" w:hAnsiTheme="minorHAnsi" w:cstheme="minorHAnsi"/>
          <w:b/>
          <w:bCs/>
          <w:sz w:val="20"/>
          <w:szCs w:val="20"/>
        </w:rPr>
      </w:r>
      <w:r>
        <w:rPr>
          <w:rFonts w:asciiTheme="minorHAnsi" w:hAnsiTheme="minorHAnsi" w:cstheme="minorHAnsi"/>
          <w:b/>
          <w:bCs/>
          <w:sz w:val="20"/>
          <w:szCs w:val="20"/>
        </w:rPr>
      </w:r>
    </w:p>
    <w:p w14:paraId="6C2ABF65" w14:textId="0069C228">
      <w:pPr>
        <w:pStyle w:val="1024"/>
        <w:pBdr/>
        <w:spacing w:after="0" w:afterAutospacing="0" w:before="0" w:beforeAutospacing="0"/>
        <w:ind/>
        <w:jc w:val="both"/>
        <w:rPr>
          <w:rStyle w:val="1025"/>
          <w:rFonts w:asciiTheme="minorHAnsi" w:hAnsiTheme="minorHAnsi" w:cstheme="minorHAnsi"/>
          <w:sz w:val="20"/>
          <w:szCs w:val="20"/>
        </w:rPr>
      </w:pPr>
      <w:r>
        <w:rPr>
          <w:rStyle w:val="1025"/>
          <w:rFonts w:asciiTheme="minorHAnsi" w:hAnsiTheme="minorHAnsi" w:cstheme="minorHAnsi"/>
          <w:sz w:val="20"/>
          <w:szCs w:val="20"/>
        </w:rPr>
        <w:t xml:space="preserve">Les candidats doivent soumettre les documents suivants :</w:t>
      </w:r>
      <w:r>
        <w:rPr>
          <w:rStyle w:val="1025"/>
          <w:rFonts w:asciiTheme="minorHAnsi" w:hAnsiTheme="minorHAnsi" w:cstheme="minorHAnsi"/>
          <w:sz w:val="20"/>
          <w:szCs w:val="20"/>
        </w:rPr>
      </w:r>
    </w:p>
    <w:p w14:paraId="09A6831E" w14:textId="77777777">
      <w:pPr>
        <w:pStyle w:val="1024"/>
        <w:pBdr/>
        <w:spacing w:after="0" w:afterAutospacing="0" w:before="0" w:beforeAutospacing="0"/>
        <w:ind/>
        <w:jc w:val="both"/>
        <w:rPr>
          <w:rStyle w:val="1025"/>
          <w:rFonts w:asciiTheme="minorHAnsi" w:hAnsiTheme="minorHAnsi" w:cstheme="minorHAnsi"/>
          <w:sz w:val="20"/>
          <w:szCs w:val="20"/>
        </w:rPr>
      </w:pPr>
      <w:r>
        <w:rPr>
          <w:rFonts w:asciiTheme="minorHAnsi" w:hAnsiTheme="minorHAnsi" w:cstheme="minorHAnsi"/>
          <w:sz w:val="20"/>
          <w:szCs w:val="20"/>
        </w:rPr>
      </w:r>
      <w:r>
        <w:rPr>
          <w:rStyle w:val="1025"/>
          <w:rFonts w:asciiTheme="minorHAnsi" w:hAnsiTheme="minorHAnsi" w:cstheme="minorHAnsi"/>
          <w:sz w:val="20"/>
          <w:szCs w:val="20"/>
        </w:rPr>
      </w:r>
    </w:p>
    <w:p w14:paraId="3B267179" w14:textId="1C4B135F">
      <w:pPr>
        <w:pStyle w:val="1024"/>
        <w:pBdr/>
        <w:spacing w:after="0" w:afterAutospacing="0" w:before="0" w:beforeAutospacing="0"/>
        <w:ind/>
        <w:jc w:val="both"/>
        <w:rPr>
          <w:rStyle w:val="1025"/>
          <w:rFonts w:asciiTheme="minorHAnsi" w:hAnsiTheme="minorHAnsi" w:cstheme="minorHAnsi"/>
          <w:sz w:val="20"/>
          <w:szCs w:val="20"/>
        </w:rPr>
      </w:pPr>
      <w:r>
        <w:rPr>
          <w:rStyle w:val="1025"/>
          <w:rFonts w:asciiTheme="minorHAnsi" w:hAnsiTheme="minorHAnsi" w:cstheme="minorHAnsi"/>
          <w:sz w:val="20"/>
          <w:szCs w:val="20"/>
        </w:rPr>
        <w:t xml:space="preserve">Documents de candidature</w:t>
      </w:r>
      <w:r>
        <w:rPr>
          <w:rStyle w:val="1025"/>
          <w:rFonts w:asciiTheme="minorHAnsi" w:hAnsiTheme="minorHAnsi" w:cstheme="minorHAnsi"/>
          <w:sz w:val="20"/>
          <w:szCs w:val="20"/>
        </w:rPr>
        <w:t xml:space="preserve"> </w:t>
      </w:r>
      <w:r>
        <w:rPr>
          <w:rStyle w:val="1025"/>
          <w:rFonts w:asciiTheme="minorHAnsi" w:hAnsiTheme="minorHAnsi" w:cstheme="minorHAnsi"/>
          <w:sz w:val="20"/>
          <w:szCs w:val="20"/>
        </w:rPr>
        <w:t xml:space="preserve">:</w:t>
      </w:r>
      <w:r>
        <w:rPr>
          <w:rStyle w:val="1025"/>
          <w:rFonts w:asciiTheme="minorHAnsi" w:hAnsiTheme="minorHAnsi" w:cstheme="minorHAnsi"/>
          <w:sz w:val="20"/>
          <w:szCs w:val="20"/>
        </w:rPr>
      </w:r>
    </w:p>
    <w:p w14:paraId="4083EDAE" w14:textId="453DBFF2">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Le c</w:t>
      </w:r>
      <w:r>
        <w:rPr>
          <w:rFonts w:asciiTheme="minorHAnsi" w:hAnsiTheme="minorHAnsi" w:cstheme="minorHAnsi"/>
          <w:sz w:val="20"/>
          <w:szCs w:val="20"/>
        </w:rPr>
        <w:t xml:space="preserve">ontrat dûment signé</w:t>
      </w:r>
      <w:r>
        <w:rPr>
          <w:rFonts w:asciiTheme="minorHAnsi" w:hAnsiTheme="minorHAnsi" w:cstheme="minorHAnsi"/>
          <w:sz w:val="20"/>
          <w:szCs w:val="20"/>
        </w:rPr>
      </w:r>
    </w:p>
    <w:p w14:paraId="6DC5DEE3" w14:textId="00BA61CB">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Une preuve de l’enregistrement du candidat au registre des sociétés (K-bis ou équivalent) ;</w:t>
      </w:r>
      <w:r>
        <w:rPr>
          <w:rFonts w:asciiTheme="minorHAnsi" w:hAnsiTheme="minorHAnsi" w:cstheme="minorHAnsi"/>
          <w:sz w:val="20"/>
          <w:szCs w:val="20"/>
        </w:rPr>
      </w:r>
    </w:p>
    <w:p w14:paraId="5B04AE56" w14:textId="77777777">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Le formulaire de candidature comprenant la déclaration sur l'honneur relative aux critères d'exclusion, à l'absence de conflit d'intérêt et la fiche d’identité tiers ;</w:t>
      </w:r>
      <w:r>
        <w:rPr>
          <w:rFonts w:asciiTheme="minorHAnsi" w:hAnsiTheme="minorHAnsi" w:cstheme="minorHAnsi"/>
          <w:sz w:val="20"/>
          <w:szCs w:val="20"/>
        </w:rPr>
      </w:r>
    </w:p>
    <w:p w14:paraId="5DA10D74" w14:textId="77777777">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Le formulaire de vérification de conformité au RGPD joint, permettant de vérifier la mise en œuvre par le soumissionnaire de mesures techniques et organisationnelle</w:t>
      </w:r>
      <w:r>
        <w:rPr>
          <w:rFonts w:asciiTheme="minorHAnsi" w:hAnsiTheme="minorHAnsi" w:cstheme="minorHAnsi"/>
          <w:sz w:val="20"/>
          <w:szCs w:val="20"/>
        </w:rPr>
        <w:t xml:space="preserve">s appropriées, de sorte que le traitement soit conforme aux obligations règlementaires et légales en matière de protection des données (RGPD et loi Informatique et Libertés) et garantisse bien à cet égard la protection des droits de la personne concernée ;</w:t>
      </w:r>
      <w:r>
        <w:rPr>
          <w:rFonts w:asciiTheme="minorHAnsi" w:hAnsiTheme="minorHAnsi" w:cstheme="minorHAnsi"/>
          <w:sz w:val="20"/>
          <w:szCs w:val="20"/>
        </w:rPr>
      </w:r>
    </w:p>
    <w:p w14:paraId="068E10C8" w14:textId="77777777">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Le cas échéant, jugement(s) prononçant le redressement judiciaire (en cas de redressement judiciaire) ;</w:t>
      </w:r>
      <w:r>
        <w:rPr>
          <w:rFonts w:asciiTheme="minorHAnsi" w:hAnsiTheme="minorHAnsi" w:cstheme="minorHAnsi"/>
          <w:sz w:val="20"/>
          <w:szCs w:val="20"/>
        </w:rPr>
      </w:r>
    </w:p>
    <w:p w14:paraId="132682E1" w14:textId="77777777">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Un descriptif des moyens humains répondant aux conditions de participation décrites ci-après</w:t>
      </w:r>
      <w:r>
        <w:rPr>
          <w:rFonts w:asciiTheme="minorHAnsi" w:hAnsiTheme="minorHAnsi" w:cstheme="minorHAnsi"/>
          <w:sz w:val="20"/>
          <w:szCs w:val="20"/>
        </w:rPr>
      </w:r>
    </w:p>
    <w:p w14:paraId="4777AA62" w14:textId="77777777">
      <w:pPr>
        <w:pStyle w:val="1024"/>
        <w:numPr>
          <w:ilvl w:val="1"/>
          <w:numId w:val="39"/>
        </w:numPr>
        <w:pBdr/>
        <w:spacing/>
        <w:ind/>
        <w:rPr>
          <w:rFonts w:asciiTheme="minorHAnsi" w:hAnsiTheme="minorHAnsi" w:cstheme="minorHAnsi"/>
          <w:sz w:val="20"/>
          <w:szCs w:val="20"/>
        </w:rPr>
      </w:pPr>
      <w:r>
        <w:rPr>
          <w:rFonts w:asciiTheme="minorHAnsi" w:hAnsiTheme="minorHAnsi" w:cstheme="minorHAnsi"/>
          <w:sz w:val="20"/>
          <w:szCs w:val="20"/>
        </w:rPr>
        <w:t xml:space="preserve">Déclaration indiquant les effectifs actuels de l'entreprise et l’importance du personnel d’encadrement ;</w:t>
      </w:r>
      <w:r>
        <w:rPr>
          <w:rFonts w:asciiTheme="minorHAnsi" w:hAnsiTheme="minorHAnsi" w:cstheme="minorHAnsi"/>
          <w:sz w:val="20"/>
          <w:szCs w:val="20"/>
        </w:rPr>
      </w:r>
    </w:p>
    <w:p w14:paraId="54D057BA" w14:textId="77777777">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Un descriptif des moyens techniques répondant aux conditions de participation décrites ci-après</w:t>
      </w:r>
      <w:r>
        <w:rPr>
          <w:rFonts w:asciiTheme="minorHAnsi" w:hAnsiTheme="minorHAnsi" w:cstheme="minorHAnsi"/>
          <w:sz w:val="20"/>
          <w:szCs w:val="20"/>
        </w:rPr>
      </w:r>
    </w:p>
    <w:p w14:paraId="57C26A83" w14:textId="72A4FFFB">
      <w:pPr>
        <w:pStyle w:val="1024"/>
        <w:numPr>
          <w:ilvl w:val="1"/>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Liste de références en rapport avec l’objet du marché sur des chantiers de taille similaire indiquant le nom et les coordonnées téléphoniques d’un contact référent</w:t>
      </w:r>
      <w:r>
        <w:rPr>
          <w:rFonts w:asciiTheme="minorHAnsi" w:hAnsiTheme="minorHAnsi" w:cstheme="minorHAnsi"/>
          <w:sz w:val="20"/>
          <w:szCs w:val="20"/>
        </w:rPr>
        <w:t xml:space="preserve"> (Annexe C</w:t>
      </w:r>
      <w:r>
        <w:rPr>
          <w:rFonts w:asciiTheme="minorHAnsi" w:hAnsiTheme="minorHAnsi" w:cstheme="minorHAnsi"/>
          <w:sz w:val="20"/>
          <w:szCs w:val="20"/>
        </w:rPr>
        <w:t xml:space="preserve"> : Capacité</w:t>
      </w:r>
      <w:r>
        <w:rPr>
          <w:rFonts w:asciiTheme="minorHAnsi" w:hAnsiTheme="minorHAnsi" w:cstheme="minorHAnsi"/>
          <w:sz w:val="20"/>
          <w:szCs w:val="20"/>
        </w:rPr>
        <w:t xml:space="preserve"> technique et professionnelle</w:t>
      </w:r>
      <w:r>
        <w:rPr>
          <w:rFonts w:asciiTheme="minorHAnsi" w:hAnsiTheme="minorHAnsi" w:cstheme="minorHAnsi"/>
          <w:sz w:val="20"/>
          <w:szCs w:val="20"/>
        </w:rPr>
        <w:t xml:space="preserve">)</w:t>
      </w:r>
      <w:r>
        <w:rPr>
          <w:rFonts w:asciiTheme="minorHAnsi" w:hAnsiTheme="minorHAnsi" w:cstheme="minorHAnsi"/>
          <w:sz w:val="20"/>
          <w:szCs w:val="20"/>
        </w:rPr>
        <w:t xml:space="preserve">,</w:t>
      </w:r>
      <w:r>
        <w:rPr>
          <w:rFonts w:asciiTheme="minorHAnsi" w:hAnsiTheme="minorHAnsi" w:cstheme="minorHAnsi"/>
          <w:sz w:val="20"/>
          <w:szCs w:val="20"/>
        </w:rPr>
      </w:r>
    </w:p>
    <w:p w14:paraId="3F27F72B" w14:textId="77777777">
      <w:pPr>
        <w:pStyle w:val="1024"/>
        <w:numPr>
          <w:ilvl w:val="1"/>
          <w:numId w:val="39"/>
        </w:numPr>
        <w:pBdr/>
        <w:spacing/>
        <w:ind/>
        <w:rPr>
          <w:rFonts w:asciiTheme="minorHAnsi" w:hAnsiTheme="minorHAnsi" w:cstheme="minorHAnsi"/>
          <w:sz w:val="20"/>
          <w:szCs w:val="20"/>
        </w:rPr>
      </w:pPr>
      <w:r>
        <w:rPr>
          <w:rFonts w:asciiTheme="minorHAnsi" w:hAnsiTheme="minorHAnsi" w:cstheme="minorHAnsi"/>
          <w:sz w:val="20"/>
          <w:szCs w:val="20"/>
        </w:rPr>
        <w:t xml:space="preserve">Déclaration indiquant l’outillage, le matériel et l’équipement technique dont le candidat dispose pour la réalisation des prestations prévues dans le cadre du marché,</w:t>
      </w:r>
      <w:r>
        <w:rPr>
          <w:rFonts w:asciiTheme="minorHAnsi" w:hAnsiTheme="minorHAnsi" w:cstheme="minorHAnsi"/>
          <w:sz w:val="20"/>
          <w:szCs w:val="20"/>
        </w:rPr>
      </w:r>
    </w:p>
    <w:p w14:paraId="7B41FC0B" w14:textId="77777777">
      <w:pPr>
        <w:pStyle w:val="1024"/>
        <w:numPr>
          <w:ilvl w:val="1"/>
          <w:numId w:val="39"/>
        </w:numPr>
        <w:pBdr/>
        <w:spacing/>
        <w:ind/>
        <w:rPr>
          <w:rFonts w:asciiTheme="minorHAnsi" w:hAnsiTheme="minorHAnsi" w:cstheme="minorHAnsi"/>
          <w:sz w:val="20"/>
          <w:szCs w:val="20"/>
        </w:rPr>
      </w:pPr>
      <w:r>
        <w:rPr>
          <w:rFonts w:asciiTheme="minorHAnsi" w:hAnsiTheme="minorHAnsi" w:cstheme="minorHAnsi"/>
          <w:sz w:val="20"/>
          <w:szCs w:val="20"/>
        </w:rPr>
        <w:t xml:space="preserve">Certificats de qual</w:t>
      </w:r>
      <w:r>
        <w:rPr>
          <w:rFonts w:asciiTheme="minorHAnsi" w:hAnsiTheme="minorHAnsi" w:cstheme="minorHAnsi"/>
          <w:sz w:val="20"/>
          <w:szCs w:val="20"/>
        </w:rPr>
        <w:t xml:space="preserve">ification professionnelle (à développer en fonction de l’objet du marché : ARSEG, norme ISO ou certificats équivalents. A défaut de présenter un certificat professionnel, le candidat pourra apporter la preuve de sa capacité professionnelle par tout moyen ;</w:t>
      </w:r>
      <w:r>
        <w:rPr>
          <w:rFonts w:asciiTheme="minorHAnsi" w:hAnsiTheme="minorHAnsi" w:cstheme="minorHAnsi"/>
          <w:sz w:val="20"/>
          <w:szCs w:val="20"/>
        </w:rPr>
      </w:r>
    </w:p>
    <w:p w14:paraId="2D6F2084" w14:textId="77777777">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Un descriptif des capacités économiques et financières répondant aux conditions de participation décrites ci-après :</w:t>
      </w:r>
      <w:r>
        <w:rPr>
          <w:rFonts w:asciiTheme="minorHAnsi" w:hAnsiTheme="minorHAnsi" w:cstheme="minorHAnsi"/>
          <w:sz w:val="20"/>
          <w:szCs w:val="20"/>
        </w:rPr>
      </w:r>
    </w:p>
    <w:p w14:paraId="1B3F3ECC" w14:textId="77777777">
      <w:pPr>
        <w:pStyle w:val="1024"/>
        <w:numPr>
          <w:ilvl w:val="1"/>
          <w:numId w:val="39"/>
        </w:numPr>
        <w:pBdr/>
        <w:spacing/>
        <w:ind/>
        <w:rPr>
          <w:rFonts w:asciiTheme="minorHAnsi" w:hAnsiTheme="minorHAnsi" w:cstheme="minorHAnsi"/>
          <w:sz w:val="20"/>
          <w:szCs w:val="20"/>
        </w:rPr>
      </w:pPr>
      <w:r>
        <w:rPr>
          <w:rFonts w:asciiTheme="minorHAnsi" w:hAnsiTheme="minorHAnsi" w:cstheme="minorHAnsi"/>
          <w:sz w:val="20"/>
          <w:szCs w:val="20"/>
        </w:rPr>
        <w:t xml:space="preserve">Déclarations de chiffres d'affaires des trois derniers exercices comptables disponibles ;</w:t>
      </w:r>
      <w:r>
        <w:rPr>
          <w:rFonts w:asciiTheme="minorHAnsi" w:hAnsiTheme="minorHAnsi" w:cstheme="minorHAnsi"/>
          <w:sz w:val="20"/>
          <w:szCs w:val="20"/>
        </w:rPr>
      </w:r>
    </w:p>
    <w:p w14:paraId="6458DF97" w14:textId="77777777">
      <w:pPr>
        <w:pStyle w:val="1024"/>
        <w:numPr>
          <w:ilvl w:val="1"/>
          <w:numId w:val="39"/>
        </w:numPr>
        <w:pBdr/>
        <w:spacing/>
        <w:ind/>
        <w:rPr>
          <w:rFonts w:asciiTheme="minorHAnsi" w:hAnsiTheme="minorHAnsi" w:cstheme="minorHAnsi"/>
          <w:sz w:val="20"/>
          <w:szCs w:val="20"/>
        </w:rPr>
      </w:pPr>
      <w:r>
        <w:rPr>
          <w:rFonts w:asciiTheme="minorHAnsi" w:hAnsiTheme="minorHAnsi" w:cstheme="minorHAnsi"/>
          <w:sz w:val="20"/>
          <w:szCs w:val="20"/>
        </w:rPr>
        <w:t xml:space="preserve">Attestations d’assurance responsabilité civile et/ou professionnelle en cours de validité ;</w:t>
      </w:r>
      <w:r>
        <w:rPr>
          <w:rFonts w:asciiTheme="minorHAnsi" w:hAnsiTheme="minorHAnsi" w:cstheme="minorHAnsi"/>
          <w:sz w:val="20"/>
          <w:szCs w:val="20"/>
        </w:rPr>
      </w:r>
    </w:p>
    <w:p w14:paraId="408688A2" w14:textId="3C2BB986">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Le questionnaire évaluation sûreté, pour tout contrat dont l’exécution implique un déplacement de son personnel (ou de son sous-traitant) en zone orange ou rouge (conformément aux cartes régionales de vigilance mises à disposition par le </w:t>
      </w:r>
      <w:r>
        <w:rPr>
          <w:rFonts w:asciiTheme="minorHAnsi" w:hAnsiTheme="minorHAnsi" w:cstheme="minorHAnsi"/>
          <w:sz w:val="20"/>
          <w:szCs w:val="20"/>
        </w:rPr>
        <w:t xml:space="preserve">ministère de l’Europe</w:t>
      </w:r>
      <w:r>
        <w:rPr>
          <w:rFonts w:asciiTheme="minorHAnsi" w:hAnsiTheme="minorHAnsi" w:cstheme="minorHAnsi"/>
          <w:sz w:val="20"/>
          <w:szCs w:val="20"/>
        </w:rPr>
        <w:t xml:space="preserve"> et des Affaires étrangères </w:t>
      </w:r>
      <w:hyperlink r:id="rId19" w:tooltip="https://www.diplomatie.gouv.fr/fr/conseils-aux-voyageurs/" w:history="1">
        <w:r>
          <w:rPr>
            <w:rStyle w:val="1015"/>
            <w:sz w:val="20"/>
            <w:szCs w:val="20"/>
          </w:rPr>
          <w:t xml:space="preserve">https://www.diplomatie.gouv.fr/fr/conseils-aux-voyageurs/</w:t>
        </w:r>
      </w:hyperlink>
      <w:r>
        <w:rPr>
          <w:rFonts w:asciiTheme="minorHAnsi" w:hAnsiTheme="minorHAnsi" w:cstheme="minorHAnsi"/>
          <w:sz w:val="20"/>
          <w:szCs w:val="20"/>
        </w:rPr>
        <w:t xml:space="preserve">).</w:t>
      </w:r>
      <w:r>
        <w:rPr>
          <w:rFonts w:asciiTheme="minorHAnsi" w:hAnsiTheme="minorHAnsi" w:cstheme="minorHAnsi"/>
          <w:sz w:val="20"/>
          <w:szCs w:val="20"/>
        </w:rPr>
      </w:r>
    </w:p>
    <w:p w14:paraId="1B61EEA1" w14:textId="35C7D1DE">
      <w:pPr>
        <w:pStyle w:val="1024"/>
        <w:numPr>
          <w:ilvl w:val="0"/>
          <w:numId w:val="39"/>
        </w:numPr>
        <w:pBdr/>
        <w:spacing/>
        <w:ind/>
        <w:rPr>
          <w:rFonts w:asciiTheme="minorHAnsi" w:hAnsiTheme="minorHAnsi" w:cstheme="minorHAnsi"/>
          <w:sz w:val="20"/>
          <w:szCs w:val="20"/>
        </w:rPr>
      </w:pPr>
      <w:r>
        <w:rPr>
          <w:rFonts w:asciiTheme="minorHAnsi" w:hAnsiTheme="minorHAnsi" w:cstheme="minorHAnsi"/>
          <w:sz w:val="20"/>
          <w:szCs w:val="20"/>
        </w:rPr>
        <w:t xml:space="preserve">Le f</w:t>
      </w:r>
      <w:r>
        <w:rPr>
          <w:rFonts w:asciiTheme="minorHAnsi" w:hAnsiTheme="minorHAnsi" w:cstheme="minorHAnsi"/>
          <w:sz w:val="20"/>
          <w:szCs w:val="20"/>
        </w:rPr>
        <w:t xml:space="preserve">ormulaire de déclaration des bénéficiaires effectifs dûment rempli</w:t>
      </w:r>
      <w:r>
        <w:rPr>
          <w:rFonts w:asciiTheme="minorHAnsi" w:hAnsiTheme="minorHAnsi" w:cstheme="minorHAnsi"/>
          <w:sz w:val="20"/>
          <w:szCs w:val="20"/>
        </w:rPr>
        <w:t xml:space="preserve">.</w:t>
      </w:r>
      <w:r>
        <w:rPr>
          <w:rFonts w:asciiTheme="minorHAnsi" w:hAnsiTheme="minorHAnsi" w:cstheme="minorHAnsi"/>
          <w:sz w:val="20"/>
          <w:szCs w:val="20"/>
        </w:rPr>
      </w:r>
    </w:p>
    <w:p w14:paraId="2BA7A3F2" w14:textId="77777777">
      <w:pPr>
        <w:pStyle w:val="1024"/>
        <w:pBdr/>
        <w:spacing w:after="0" w:afterAutospacing="0" w:before="0" w:beforeAutospacing="0"/>
        <w:ind/>
        <w:jc w:val="both"/>
        <w:rPr>
          <w:rFonts w:asciiTheme="minorHAnsi" w:hAnsiTheme="minorHAnsi" w:cstheme="minorHAnsi"/>
          <w:b/>
          <w:bCs/>
          <w:sz w:val="20"/>
          <w:szCs w:val="20"/>
        </w:rPr>
      </w:pPr>
      <w:r/>
      <w:bookmarkStart w:id="0" w:name="_Toc63783793"/>
      <w:r>
        <w:rPr>
          <w:rFonts w:asciiTheme="minorHAnsi" w:hAnsiTheme="minorHAnsi" w:cstheme="minorHAnsi"/>
          <w:b/>
          <w:bCs/>
          <w:sz w:val="20"/>
          <w:szCs w:val="20"/>
        </w:rPr>
        <w:t xml:space="preserve">Pièces constitutives de l’offre</w:t>
      </w:r>
      <w:bookmarkEnd w:id="0"/>
      <w:r/>
      <w:r>
        <w:rPr>
          <w:rFonts w:asciiTheme="minorHAnsi" w:hAnsiTheme="minorHAnsi" w:cstheme="minorHAnsi"/>
          <w:b/>
          <w:bCs/>
          <w:sz w:val="20"/>
          <w:szCs w:val="20"/>
        </w:rPr>
      </w:r>
    </w:p>
    <w:p w14:paraId="59495234" w14:textId="77777777">
      <w:pPr>
        <w:pBdr/>
        <w:spacing/>
        <w:ind/>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Les candidats remettent un dossier complet comprenant les pièces suivantes :</w:t>
      </w:r>
      <w:r>
        <w:rPr>
          <w:rFonts w:asciiTheme="minorHAnsi" w:hAnsiTheme="minorHAnsi" w:cstheme="minorHAnsi"/>
          <w:sz w:val="20"/>
          <w:szCs w:val="20"/>
          <w:lang w:eastAsia="en-US"/>
        </w:rPr>
      </w:r>
    </w:p>
    <w:p w14:paraId="6CE3862E" w14:textId="77777777">
      <w:pPr>
        <w:pStyle w:val="1019"/>
        <w:numPr>
          <w:ilvl w:val="0"/>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Le projet de contrat dûment renseigné, daté et signé et en annexe : </w:t>
      </w:r>
      <w:r>
        <w:rPr>
          <w:rFonts w:asciiTheme="minorHAnsi" w:hAnsiTheme="minorHAnsi" w:cstheme="minorHAnsi"/>
          <w:color w:val="auto"/>
          <w:sz w:val="20"/>
          <w:szCs w:val="20"/>
          <w:lang w:eastAsia="en-US"/>
        </w:rPr>
      </w:r>
    </w:p>
    <w:p w14:paraId="6F9F8520" w14:textId="6CD537C5">
      <w:pPr>
        <w:pStyle w:val="1019"/>
        <w:numPr>
          <w:ilvl w:val="1"/>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Les</w:t>
      </w:r>
      <w:r>
        <w:rPr>
          <w:rFonts w:asciiTheme="minorHAnsi" w:hAnsiTheme="minorHAnsi" w:cstheme="minorHAnsi"/>
          <w:color w:val="auto"/>
          <w:sz w:val="20"/>
          <w:szCs w:val="20"/>
          <w:lang w:eastAsia="en-US"/>
        </w:rPr>
        <w:t xml:space="preserve"> annexes financières dûment renseignées ;</w:t>
      </w:r>
      <w:r>
        <w:rPr>
          <w:rFonts w:asciiTheme="minorHAnsi" w:hAnsiTheme="minorHAnsi" w:cstheme="minorHAnsi"/>
          <w:color w:val="auto"/>
          <w:sz w:val="20"/>
          <w:szCs w:val="20"/>
          <w:lang w:eastAsia="en-US"/>
        </w:rPr>
      </w:r>
    </w:p>
    <w:p w14:paraId="55C3048D" w14:textId="2E3B8474">
      <w:pPr>
        <w:pStyle w:val="1019"/>
        <w:numPr>
          <w:ilvl w:val="1"/>
          <w:numId w:val="39"/>
        </w:numPr>
        <w:pBdr/>
        <w:spacing/>
        <w:ind/>
        <w:jc w:val="both"/>
        <w:rPr>
          <w:rFonts w:eastAsia="Times" w:asciiTheme="minorHAnsi" w:hAnsiTheme="minorHAnsi" w:cstheme="minorHAnsi"/>
          <w:color w:val="auto"/>
          <w:sz w:val="22"/>
          <w:szCs w:val="22"/>
        </w:rPr>
      </w:pPr>
      <w:r>
        <w:rPr>
          <w:rFonts w:asciiTheme="minorHAnsi" w:hAnsiTheme="minorHAnsi" w:cstheme="minorHAnsi"/>
          <w:color w:val="auto"/>
          <w:sz w:val="20"/>
          <w:szCs w:val="20"/>
          <w:lang w:eastAsia="en-US"/>
        </w:rPr>
        <w:t xml:space="preserve">L’annexe</w:t>
      </w:r>
      <w:r>
        <w:rPr>
          <w:rFonts w:asciiTheme="minorHAnsi" w:hAnsiTheme="minorHAnsi" w:cstheme="minorHAnsi"/>
          <w:color w:val="auto"/>
          <w:sz w:val="20"/>
          <w:szCs w:val="20"/>
          <w:lang w:eastAsia="en-US"/>
        </w:rPr>
        <w:t xml:space="preserve"> portant définition et conditions de réalisation des opérations de traitement des données à caractère</w:t>
      </w:r>
      <w:r>
        <w:rPr>
          <w:rFonts w:eastAsia="Times" w:asciiTheme="minorHAnsi" w:hAnsiTheme="minorHAnsi" w:cstheme="minorHAnsi"/>
          <w:color w:val="auto"/>
          <w:sz w:val="22"/>
          <w:szCs w:val="22"/>
        </w:rPr>
        <w:t xml:space="preserve"> </w:t>
      </w:r>
      <w:r>
        <w:rPr>
          <w:rFonts w:asciiTheme="minorHAnsi" w:hAnsiTheme="minorHAnsi" w:cstheme="minorHAnsi"/>
          <w:color w:val="auto"/>
          <w:sz w:val="20"/>
          <w:szCs w:val="20"/>
          <w:lang w:eastAsia="en-US"/>
        </w:rPr>
        <w:t xml:space="preserve">personnel pour le compte de l’autorité contractante, dûment complétée ;</w:t>
      </w:r>
      <w:r>
        <w:rPr>
          <w:rFonts w:eastAsia="Times" w:asciiTheme="minorHAnsi" w:hAnsiTheme="minorHAnsi" w:cstheme="minorHAnsi"/>
          <w:color w:val="auto"/>
          <w:sz w:val="22"/>
          <w:szCs w:val="22"/>
        </w:rPr>
      </w:r>
    </w:p>
    <w:p w14:paraId="35926CAA" w14:textId="77777777">
      <w:pPr>
        <w:pStyle w:val="1019"/>
        <w:numPr>
          <w:ilvl w:val="0"/>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Un mémoire technique comprenant les informations suivantes :</w:t>
      </w:r>
      <w:r>
        <w:rPr>
          <w:rFonts w:asciiTheme="minorHAnsi" w:hAnsiTheme="minorHAnsi" w:cstheme="minorHAnsi"/>
          <w:color w:val="auto"/>
          <w:sz w:val="20"/>
          <w:szCs w:val="20"/>
          <w:lang w:eastAsia="en-US"/>
        </w:rPr>
      </w:r>
    </w:p>
    <w:p w14:paraId="111A55FA" w14:textId="77777777">
      <w:pPr>
        <w:pStyle w:val="1019"/>
        <w:numPr>
          <w:ilvl w:val="1"/>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Spécifications techniques des matériaux proposés</w:t>
      </w:r>
      <w:r>
        <w:rPr>
          <w:rFonts w:asciiTheme="minorHAnsi" w:hAnsiTheme="minorHAnsi" w:cstheme="minorHAnsi"/>
          <w:color w:val="auto"/>
          <w:sz w:val="20"/>
          <w:szCs w:val="20"/>
          <w:lang w:eastAsia="en-US"/>
        </w:rPr>
      </w:r>
    </w:p>
    <w:p w14:paraId="65EF53EF" w14:textId="4FC34426">
      <w:pPr>
        <w:pStyle w:val="1019"/>
        <w:numPr>
          <w:ilvl w:val="1"/>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Méthodologie</w:t>
      </w:r>
      <w:r>
        <w:rPr>
          <w:rFonts w:asciiTheme="minorHAnsi" w:hAnsiTheme="minorHAnsi" w:cstheme="minorHAnsi"/>
          <w:color w:val="auto"/>
          <w:sz w:val="20"/>
          <w:szCs w:val="20"/>
          <w:lang w:eastAsia="en-US"/>
        </w:rPr>
      </w:r>
    </w:p>
    <w:p w14:paraId="2973E06D" w14:textId="77777777">
      <w:pPr>
        <w:pStyle w:val="1019"/>
        <w:numPr>
          <w:ilvl w:val="1"/>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Plan d’action</w:t>
      </w:r>
      <w:r>
        <w:rPr>
          <w:rFonts w:asciiTheme="minorHAnsi" w:hAnsiTheme="minorHAnsi" w:cstheme="minorHAnsi"/>
          <w:color w:val="auto"/>
          <w:sz w:val="20"/>
          <w:szCs w:val="20"/>
          <w:lang w:eastAsia="en-US"/>
        </w:rPr>
      </w:r>
    </w:p>
    <w:p w14:paraId="5D757EF3" w14:textId="77777777">
      <w:pPr>
        <w:pStyle w:val="1019"/>
        <w:numPr>
          <w:ilvl w:val="1"/>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t xml:space="preserve">Chronogramme</w:t>
      </w:r>
      <w:r>
        <w:rPr>
          <w:rFonts w:asciiTheme="minorHAnsi" w:hAnsiTheme="minorHAnsi" w:cstheme="minorHAnsi"/>
          <w:color w:val="auto"/>
          <w:sz w:val="20"/>
          <w:szCs w:val="20"/>
          <w:lang w:eastAsia="en-US"/>
        </w:rPr>
      </w:r>
    </w:p>
    <w:p w14:paraId="615AF346" w14:textId="5B5B609B">
      <w:pPr>
        <w:pStyle w:val="1019"/>
        <w:numPr>
          <w:ilvl w:val="1"/>
          <w:numId w:val="39"/>
        </w:numPr>
        <w:pBdr/>
        <w:spacing/>
        <w:ind/>
        <w:jc w:val="both"/>
        <w:rPr>
          <w:rFonts w:asciiTheme="minorHAnsi" w:hAnsiTheme="minorHAnsi" w:cstheme="minorHAnsi"/>
          <w:color w:val="auto"/>
          <w:sz w:val="20"/>
          <w:szCs w:val="20"/>
          <w:lang w:eastAsia="en-US"/>
        </w:rPr>
      </w:pPr>
      <w:r>
        <w:rPr>
          <w:rFonts w:asciiTheme="minorHAnsi" w:hAnsiTheme="minorHAnsi" w:cstheme="minorHAnsi"/>
          <w:sz w:val="20"/>
          <w:szCs w:val="20"/>
        </w:rPr>
        <w:t xml:space="preserve">Une lettre précisant la durée de garantie des équipements ainsi que les conditions de garantie.</w:t>
      </w:r>
      <w:r>
        <w:rPr>
          <w:rFonts w:asciiTheme="minorHAnsi" w:hAnsiTheme="minorHAnsi" w:cstheme="minorHAnsi"/>
          <w:color w:val="auto"/>
          <w:sz w:val="20"/>
          <w:szCs w:val="20"/>
          <w:lang w:eastAsia="en-US"/>
        </w:rPr>
      </w:r>
    </w:p>
    <w:p w14:paraId="22067004" w14:textId="77777777">
      <w:pPr>
        <w:pStyle w:val="1019"/>
        <w:pBdr/>
        <w:spacing/>
        <w:ind w:left="1440"/>
        <w:jc w:val="both"/>
        <w:rPr>
          <w:rFonts w:asciiTheme="minorHAnsi" w:hAnsiTheme="minorHAnsi" w:cstheme="minorHAnsi"/>
          <w:color w:val="auto"/>
          <w:sz w:val="20"/>
          <w:szCs w:val="20"/>
          <w:lang w:eastAsia="en-US"/>
        </w:rPr>
      </w:pPr>
      <w:r>
        <w:rPr>
          <w:rFonts w:asciiTheme="minorHAnsi" w:hAnsiTheme="minorHAnsi" w:cstheme="minorHAnsi"/>
          <w:color w:val="auto"/>
          <w:sz w:val="20"/>
          <w:szCs w:val="20"/>
          <w:lang w:eastAsia="en-US"/>
        </w:rPr>
      </w:r>
      <w:r>
        <w:rPr>
          <w:rFonts w:asciiTheme="minorHAnsi" w:hAnsiTheme="minorHAnsi" w:cstheme="minorHAnsi"/>
          <w:color w:val="auto"/>
          <w:sz w:val="20"/>
          <w:szCs w:val="20"/>
          <w:lang w:eastAsia="en-US"/>
        </w:rPr>
      </w:r>
    </w:p>
    <w:p w14:paraId="10B89386" w14:textId="4562260F">
      <w:pPr>
        <w:pStyle w:val="1024"/>
        <w:pBdr/>
        <w:spacing/>
        <w:ind/>
        <w:rPr>
          <w:rFonts w:asciiTheme="minorHAnsi" w:hAnsiTheme="minorHAnsi" w:cstheme="minorHAnsi"/>
          <w:b/>
          <w:bCs/>
          <w:sz w:val="20"/>
          <w:szCs w:val="20"/>
        </w:rPr>
      </w:pPr>
      <w:r>
        <w:rPr>
          <w:rFonts w:asciiTheme="minorHAnsi" w:hAnsiTheme="minorHAnsi" w:cstheme="minorHAnsi"/>
          <w:b/>
          <w:bCs/>
          <w:sz w:val="20"/>
          <w:szCs w:val="20"/>
        </w:rPr>
        <w:t xml:space="preserve">Les candidatures doivent être soumises via la plateforme PLACE.</w:t>
      </w:r>
      <w:r>
        <w:rPr>
          <w:rFonts w:asciiTheme="minorHAnsi" w:hAnsiTheme="minorHAnsi" w:cstheme="minorHAnsi"/>
          <w:b/>
          <w:bCs/>
          <w:sz w:val="20"/>
          <w:szCs w:val="20"/>
        </w:rPr>
      </w:r>
    </w:p>
    <w:p w14:paraId="21525D77" w14:textId="140043B0">
      <w:pPr>
        <w:pStyle w:val="1024"/>
        <w:pBdr/>
        <w:spacing/>
        <w:ind/>
        <w:rPr>
          <w:rFonts w:asciiTheme="minorHAnsi" w:hAnsiTheme="minorHAnsi" w:cstheme="minorHAnsi"/>
          <w:b/>
          <w:bCs/>
          <w:sz w:val="20"/>
          <w:szCs w:val="20"/>
        </w:rPr>
      </w:pPr>
      <w:r>
        <w:rPr>
          <w:rFonts w:asciiTheme="minorHAnsi" w:hAnsiTheme="minorHAnsi" w:cstheme="minorHAnsi"/>
          <w:b/>
          <w:bCs/>
          <w:sz w:val="20"/>
          <w:szCs w:val="20"/>
        </w:rPr>
        <w:t xml:space="preserve">La date limite de dépôt des candidatures est fixée au 15 mai 2026.</w:t>
      </w:r>
      <w:r>
        <w:rPr>
          <w:rFonts w:asciiTheme="minorHAnsi" w:hAnsiTheme="minorHAnsi" w:cstheme="minorHAnsi"/>
          <w:b/>
          <w:bCs/>
          <w:sz w:val="20"/>
          <w:szCs w:val="20"/>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977" w:right="1417" w:bottom="1417" w:left="1417" w:header="708" w:footer="480"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208A0A16" w14:textId="77777777">
      <w:pPr>
        <w:pBdr/>
        <w:spacing/>
        <w:ind/>
        <w:rPr/>
      </w:pPr>
      <w:r>
        <w:separator/>
      </w:r>
      <w:r/>
    </w:p>
  </w:endnote>
  <w:endnote w:type="continuationSeparator" w:id="0">
    <w:p w14:paraId="3DAB91D3"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Wingdings">
    <w:panose1 w:val="05000000000000000000"/>
  </w:font>
  <w:font w:name="Symbol">
    <w:panose1 w:val="05010000000000000000"/>
  </w:font>
  <w:font w:name="Times">
    <w:panose1 w:val="02020603050405020304"/>
  </w:font>
  <w:font w:name="Tahoma">
    <w:panose1 w:val="020B0604030504040204"/>
  </w:font>
  <w:font w:name="Georgia">
    <w:panose1 w:val="02040502050405020303"/>
  </w:font>
  <w:font w:name="SimSun">
    <w:panose1 w:val="02020603020101020101"/>
  </w:font>
  <w:font w:name="Courier New">
    <w:panose1 w:val="020703090202050204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D9175EE" w14:textId="77777777">
    <w:pPr>
      <w:pStyle w:val="1002"/>
      <w:pBdr/>
      <w:tabs>
        <w:tab w:val="clear" w:leader="none" w:pos="4536"/>
        <w:tab w:val="clear" w:leader="none" w:pos="9072"/>
        <w:tab w:val="right" w:leader="none" w:pos="9746"/>
      </w:tabs>
      <w:spacing/>
      <w:ind/>
      <w:jc w:val="both"/>
      <w:rPr>
        <w:rFonts w:asciiTheme="minorHAnsi" w:hAnsiTheme="minorHAnsi"/>
        <w:u w:val="single"/>
      </w:rPr>
    </w:pPr>
    <w:r>
      <w:rPr>
        <w:rFonts w:asciiTheme="minorHAnsi" w:hAnsiTheme="minorHAnsi"/>
        <w:u w:val="single"/>
      </w:rPr>
      <w:tab/>
    </w:r>
    <w:r>
      <w:rPr>
        <w:rFonts w:asciiTheme="minorHAnsi" w:hAnsiTheme="minorHAnsi"/>
        <w:u w:val="single"/>
      </w:rPr>
    </w:r>
  </w:p>
  <w:sdt>
    <w:sdtPr>
      <w15:appearance w15:val="boundingBox"/>
      <w:id w:val="-279648002"/>
      <w:docPartObj>
        <w:docPartGallery w:val="Page Numbers (Top of Page)"/>
        <w:docPartUnique w:val="true"/>
      </w:docPartObj>
      <w:rPr>
        <w:rFonts w:asciiTheme="minorHAnsi" w:hAnsiTheme="minorHAnsi"/>
        <w:sz w:val="22"/>
        <w:szCs w:val="22"/>
      </w:rPr>
    </w:sdtPr>
    <w:sdtContent>
      <w:p w14:paraId="64E47908" w14:textId="3A54AC5D">
        <w:pPr>
          <w:pStyle w:val="1002"/>
          <w:pBdr/>
          <w:tabs>
            <w:tab w:val="clear" w:leader="none" w:pos="4536"/>
            <w:tab w:val="clear" w:leader="none" w:pos="9072"/>
            <w:tab w:val="right" w:leader="none" w:pos="9746"/>
          </w:tabs>
          <w:spacing/>
          <w:ind/>
          <w:jc w:val="right"/>
          <w:rPr>
            <w:rFonts w:asciiTheme="minorHAnsi" w:hAnsiTheme="minorHAnsi" w:cstheme="minorHAnsi"/>
            <w:b/>
            <w:sz w:val="22"/>
            <w:szCs w:val="22"/>
            <w:lang w:val="en-US"/>
          </w:rPr>
        </w:pPr>
        <w:r/>
        <w:sdt>
          <w:sdtPr>
            <w15:appearance w15:val="boundingBox"/>
            <w:id w:val="-1275321880"/>
            <w:docPartObj>
              <w:docPartGallery w:val="Page Numbers (Top of Page)"/>
              <w:docPartUnique w:val="true"/>
            </w:docPartObj>
            <w:rPr>
              <w:rFonts w:asciiTheme="minorHAnsi" w:hAnsiTheme="minorHAnsi" w:cstheme="minorHAnsi"/>
              <w:sz w:val="22"/>
              <w:szCs w:val="22"/>
            </w:rPr>
          </w:sdtPr>
          <w:sdtContent>
            <w:r>
              <w:rPr>
                <w:rFonts w:cs="Arial" w:asciiTheme="minorHAnsi" w:hAnsiTheme="minorHAnsi"/>
                <w:sz w:val="16"/>
                <w:szCs w:val="16"/>
                <w:lang w:val="en-US"/>
              </w:rPr>
              <w:t xml:space="preserve">DAJ_M003ENG_v02, May 2021</w:t>
            </w:r>
            <w:r>
              <w:rPr>
                <w:rFonts w:asciiTheme="minorHAnsi" w:hAnsiTheme="minorHAnsi" w:cstheme="minorHAnsi"/>
                <w:sz w:val="22"/>
                <w:szCs w:val="22"/>
                <w:lang w:val="en-US"/>
              </w:rPr>
              <w:tab/>
            </w:r>
            <w:sdt>
              <w:sdtPr>
                <w15:appearance w15:val="boundingBox"/>
                <w:id w:val="196748648"/>
                <w:docPartObj>
                  <w:docPartGallery w:val="Page Numbers (Bottom of Page)"/>
                  <w:docPartUnique w:val="true"/>
                </w:docPartObj>
                <w:rPr>
                  <w:rFonts w:asciiTheme="minorHAnsi" w:hAnsiTheme="minorHAnsi"/>
                  <w:sz w:val="22"/>
                </w:rPr>
              </w:sdtPr>
              <w:sdtContent>
                <w:sdt>
                  <w:sdtPr>
                    <w15:appearance w15:val="boundingBox"/>
                    <w:id w:val="1658034465"/>
                    <w:docPartObj>
                      <w:docPartGallery w:val="Page Numbers (Top of Page)"/>
                      <w:docPartUnique w:val="true"/>
                    </w:docPartObj>
                    <w:rPr>
                      <w:rFonts w:asciiTheme="minorHAnsi" w:hAnsiTheme="minorHAnsi"/>
                      <w:b/>
                      <w:sz w:val="22"/>
                    </w:rPr>
                  </w:sdtPr>
                  <w:sdtContent>
                    <w:r>
                      <w:rPr>
                        <w:rFonts w:asciiTheme="minorHAnsi" w:hAnsiTheme="minorHAnsi"/>
                        <w:b/>
                        <w:sz w:val="22"/>
                        <w:lang w:val="en-US"/>
                      </w:rPr>
                      <w:t xml:space="preserve">Page </w:t>
                    </w:r>
                    <w:r>
                      <w:rPr>
                        <w:rFonts w:asciiTheme="minorHAnsi" w:hAnsiTheme="minorHAnsi"/>
                        <w:b/>
                        <w:sz w:val="22"/>
                      </w:rPr>
                      <w:fldChar w:fldCharType="begin"/>
                    </w:r>
                    <w:r>
                      <w:rPr>
                        <w:rFonts w:asciiTheme="minorHAnsi" w:hAnsiTheme="minorHAnsi"/>
                        <w:b/>
                        <w:sz w:val="22"/>
                        <w:lang w:val="en-US"/>
                      </w:rPr>
                      <w:instrText xml:space="preserve">PAGE</w:instrText>
                    </w:r>
                    <w:r>
                      <w:rPr>
                        <w:rFonts w:asciiTheme="minorHAnsi" w:hAnsiTheme="minorHAnsi"/>
                        <w:b/>
                        <w:sz w:val="22"/>
                      </w:rPr>
                      <w:fldChar w:fldCharType="separate"/>
                    </w:r>
                    <w:r>
                      <w:rPr>
                        <w:rFonts w:asciiTheme="minorHAnsi" w:hAnsiTheme="minorHAnsi"/>
                        <w:b/>
                        <w:sz w:val="22"/>
                        <w:lang w:val="en-US"/>
                      </w:rPr>
                      <w:t xml:space="preserve">4</w:t>
                    </w:r>
                    <w:r>
                      <w:rPr>
                        <w:rFonts w:asciiTheme="minorHAnsi" w:hAnsiTheme="minorHAnsi"/>
                        <w:b/>
                        <w:sz w:val="22"/>
                      </w:rPr>
                      <w:fldChar w:fldCharType="end"/>
                    </w:r>
                    <w:r>
                      <w:rPr>
                        <w:rFonts w:asciiTheme="minorHAnsi" w:hAnsiTheme="minorHAnsi"/>
                        <w:b/>
                        <w:sz w:val="22"/>
                        <w:lang w:val="en-US"/>
                      </w:rPr>
                      <w:t xml:space="preserve"> of </w:t>
                    </w:r>
                    <w:r>
                      <w:rPr>
                        <w:rFonts w:asciiTheme="minorHAnsi" w:hAnsiTheme="minorHAnsi"/>
                        <w:b/>
                        <w:sz w:val="22"/>
                      </w:rPr>
                      <w:fldChar w:fldCharType="begin"/>
                    </w:r>
                    <w:r>
                      <w:rPr>
                        <w:rFonts w:asciiTheme="minorHAnsi" w:hAnsiTheme="minorHAnsi"/>
                        <w:b/>
                        <w:sz w:val="22"/>
                        <w:lang w:val="en-US"/>
                      </w:rPr>
                      <w:instrText xml:space="preserve">NUMPAGES</w:instrText>
                    </w:r>
                    <w:r>
                      <w:rPr>
                        <w:rFonts w:asciiTheme="minorHAnsi" w:hAnsiTheme="minorHAnsi"/>
                        <w:b/>
                        <w:sz w:val="22"/>
                      </w:rPr>
                      <w:fldChar w:fldCharType="separate"/>
                    </w:r>
                    <w:r>
                      <w:rPr>
                        <w:rFonts w:asciiTheme="minorHAnsi" w:hAnsiTheme="minorHAnsi"/>
                        <w:b/>
                        <w:sz w:val="22"/>
                        <w:lang w:val="en-US"/>
                      </w:rPr>
                      <w:t xml:space="preserve">4</w:t>
                    </w:r>
                    <w:r>
                      <w:rPr>
                        <w:rFonts w:asciiTheme="minorHAnsi" w:hAnsiTheme="minorHAnsi"/>
                        <w:b/>
                        <w:sz w:val="22"/>
                      </w:rPr>
                      <w:fldChar w:fldCharType="end"/>
                    </w:r>
                  </w:sdtContent>
                </w:sdt>
              </w:sdtContent>
            </w:sdt>
          </w:sdtContent>
        </w:sdt>
        <w:r/>
        <w:r>
          <w:rPr>
            <w:rFonts w:asciiTheme="minorHAnsi" w:hAnsiTheme="minorHAnsi" w:cstheme="minorHAnsi"/>
            <w:b/>
            <w:sz w:val="22"/>
            <w:szCs w:val="22"/>
            <w:lang w:val="en-US"/>
          </w:rPr>
        </w:r>
      </w:p>
      <w:p w14:paraId="506639E6" w14:textId="517D5F16">
        <w:pPr>
          <w:pStyle w:val="1022"/>
          <w:widowControl w:val="false"/>
          <w:pBdr/>
          <w:spacing/>
          <w:ind/>
          <w:jc w:val="left"/>
          <w:rPr>
            <w:rFonts w:cs="Arial" w:asciiTheme="minorHAnsi" w:hAnsiTheme="minorHAnsi"/>
            <w:sz w:val="16"/>
            <w:szCs w:val="16"/>
          </w:rPr>
        </w:pPr>
        <w:r>
          <w:rPr>
            <w:rFonts w:asciiTheme="minorHAnsi" w:hAnsiTheme="minorHAnsi"/>
            <w:sz w:val="16"/>
            <w:szCs w:val="16"/>
          </w:rPr>
          <w:t xml:space="preserve">Expertise France - </w:t>
        </w:r>
        <w:r>
          <w:rPr>
            <w:rFonts w:asciiTheme="minorHAnsi" w:hAnsiTheme="minorHAnsi"/>
            <w:sz w:val="16"/>
            <w:szCs w:val="16"/>
          </w:rPr>
          <w:br/>
        </w:r>
        <w:r>
          <w:rPr>
            <w:rFonts w:cs="Arial" w:asciiTheme="minorHAnsi" w:hAnsiTheme="minorHAnsi"/>
            <w:sz w:val="16"/>
            <w:szCs w:val="16"/>
          </w:rPr>
          <w:t xml:space="preserve">SIRET : 808 734 792</w:t>
        </w:r>
        <w:r>
          <w:rPr>
            <w:rFonts w:cs="Arial" w:asciiTheme="minorHAnsi" w:hAnsiTheme="minorHAnsi"/>
            <w:sz w:val="16"/>
            <w:szCs w:val="16"/>
          </w:rPr>
          <w:t xml:space="preserve"> </w:t>
        </w:r>
        <w:r>
          <w:rPr>
            <w:rFonts w:cs="Arial" w:asciiTheme="minorHAnsi" w:hAnsiTheme="minorHAnsi"/>
            <w:sz w:val="16"/>
            <w:szCs w:val="16"/>
          </w:rPr>
          <w:t xml:space="preserve">– 40 Boulevar</w:t>
        </w:r>
        <w:r>
          <w:rPr>
            <w:rFonts w:cs="Arial" w:asciiTheme="minorHAnsi" w:hAnsiTheme="minorHAnsi"/>
            <w:sz w:val="16"/>
            <w:szCs w:val="16"/>
          </w:rPr>
          <w:t xml:space="preserve">d </w:t>
        </w:r>
        <w:r>
          <w:rPr>
            <w:rFonts w:cs="Arial" w:asciiTheme="minorHAnsi" w:hAnsiTheme="minorHAnsi"/>
            <w:sz w:val="16"/>
            <w:szCs w:val="16"/>
          </w:rPr>
          <w:t xml:space="preserve">de Port-Royal, 75</w:t>
        </w:r>
        <w:r>
          <w:rPr>
            <w:rFonts w:cs="Arial" w:asciiTheme="minorHAnsi" w:hAnsiTheme="minorHAnsi"/>
            <w:sz w:val="16"/>
            <w:szCs w:val="16"/>
          </w:rPr>
          <w:t xml:space="preserve">005 PARIS</w:t>
        </w:r>
        <w:r>
          <w:rPr>
            <w:rFonts w:cs="Arial" w:asciiTheme="minorHAnsi" w:hAnsiTheme="minorHAnsi"/>
            <w:sz w:val="16"/>
            <w:szCs w:val="16"/>
          </w:rPr>
          <w:t xml:space="preserve"> </w:t>
        </w:r>
        <w:r>
          <w:rPr>
            <w:rFonts w:cs="Arial" w:asciiTheme="minorHAnsi" w:hAnsiTheme="minorHAnsi"/>
            <w:sz w:val="16"/>
            <w:szCs w:val="16"/>
          </w:rPr>
          <w:t xml:space="preserve">– France</w:t>
        </w:r>
        <w:r>
          <w:rPr>
            <w:rFonts w:cs="Arial" w:asciiTheme="minorHAnsi" w:hAnsiTheme="minorHAnsi"/>
            <w:sz w:val="16"/>
            <w:szCs w:val="16"/>
          </w:rPr>
        </w:r>
      </w:p>
    </w:sdtContent>
  </w:sdt>
  <w:p w14:paraId="7CC811EE" w14:textId="77777777">
    <w:pPr>
      <w:pStyle w:val="1002"/>
      <w:pBdr/>
      <w:tabs>
        <w:tab w:val="clear" w:leader="none" w:pos="4536"/>
        <w:tab w:val="clear" w:leader="none" w:pos="9072"/>
        <w:tab w:val="right" w:leader="none" w:pos="9746"/>
      </w:tabs>
      <w:spacing/>
      <w:ind/>
      <w:jc w:val="both"/>
      <w:rPr>
        <w:rFonts w:asciiTheme="minorHAnsi" w:hAnsiTheme="minorHAnsi"/>
        <w:szCs w:val="22"/>
      </w:rPr>
    </w:pPr>
    <w:r>
      <w:rPr>
        <w:rFonts w:asciiTheme="minorHAnsi" w:hAnsiTheme="minorHAnsi"/>
        <w:szCs w:val="22"/>
      </w:rPr>
    </w:r>
    <w:r>
      <w:rPr>
        <w:rFonts w:asciiTheme="minorHAnsi" w:hAnsiTheme="minorHAnsi"/>
        <w:szCs w:val="2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FBAA7A3" w14:textId="77777777">
    <w:pPr>
      <w:pStyle w:val="1002"/>
      <w:framePr w:hAnchor="margin" w:vAnchor="text" w:wrap="around" w:xAlign="right" w:y="1"/>
      <w:pBdr/>
      <w:spacing/>
      <w:ind/>
      <w:rPr>
        <w:rStyle w:val="1004"/>
      </w:rPr>
    </w:pPr>
    <w:r>
      <w:rPr>
        <w:rStyle w:val="1004"/>
      </w:rPr>
      <w:fldChar w:fldCharType="begin"/>
    </w:r>
    <w:r>
      <w:rPr>
        <w:rStyle w:val="1004"/>
      </w:rPr>
      <w:instrText xml:space="preserve">PAGE  </w:instrText>
    </w:r>
    <w:r>
      <w:rPr>
        <w:rStyle w:val="1004"/>
      </w:rPr>
      <w:fldChar w:fldCharType="end"/>
    </w:r>
    <w:r>
      <w:rPr>
        <w:rStyle w:val="1004"/>
      </w:rPr>
    </w:r>
  </w:p>
  <w:p w14:paraId="56BDE012" w14:textId="77777777">
    <w:pPr>
      <w:pStyle w:val="1002"/>
      <w:pBdr/>
      <w:spacing/>
      <w:ind w:right="360"/>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568570764"/>
      <w:docPartObj>
        <w:docPartGallery w:val="Page Numbers (Bottom of Page)"/>
        <w:docPartUnique w:val="true"/>
      </w:docPartObj>
      <w:rPr>
        <w:rFonts w:asciiTheme="minorHAnsi" w:hAnsiTheme="minorHAnsi" w:cstheme="minorHAnsi"/>
        <w:sz w:val="22"/>
        <w:szCs w:val="22"/>
      </w:rPr>
    </w:sdtPr>
    <w:sdtContent>
      <w:sdt>
        <w:sdtPr>
          <w15:appearance w15:val="boundingBox"/>
          <w:id w:val="21838982"/>
          <w:docPartObj>
            <w:docPartGallery w:val="Page Numbers (Top of Page)"/>
            <w:docPartUnique w:val="true"/>
          </w:docPartObj>
          <w:rPr>
            <w:rFonts w:asciiTheme="minorHAnsi" w:hAnsiTheme="minorHAnsi" w:cstheme="minorHAnsi"/>
            <w:sz w:val="22"/>
            <w:szCs w:val="22"/>
          </w:rPr>
        </w:sdtPr>
        <w:sdtContent>
          <w:p w14:paraId="41F1A57A" w14:textId="77777777">
            <w:pPr>
              <w:pStyle w:val="1002"/>
              <w:pBdr/>
              <w:tabs>
                <w:tab w:val="clear" w:leader="none" w:pos="4536"/>
                <w:tab w:val="clear" w:leader="none" w:pos="9072"/>
                <w:tab w:val="right" w:leader="none" w:pos="9746"/>
              </w:tabs>
              <w:spacing/>
              <w:ind/>
              <w:jc w:val="both"/>
              <w:rPr>
                <w:rFonts w:asciiTheme="minorHAnsi" w:hAnsiTheme="minorHAnsi" w:cstheme="minorHAnsi"/>
                <w:u w:val="single"/>
              </w:rPr>
            </w:pPr>
            <w:r>
              <w:rPr>
                <w:rFonts w:asciiTheme="minorHAnsi" w:hAnsiTheme="minorHAnsi" w:cstheme="minorHAnsi"/>
                <w:u w:val="single"/>
              </w:rPr>
              <w:tab/>
            </w:r>
            <w:r>
              <w:rPr>
                <w:rFonts w:asciiTheme="minorHAnsi" w:hAnsiTheme="minorHAnsi" w:cstheme="minorHAnsi"/>
                <w:u w:val="single"/>
              </w:rPr>
            </w:r>
          </w:p>
          <w:p w14:paraId="6E660346" w14:textId="271F8648">
            <w:pPr>
              <w:pStyle w:val="1002"/>
              <w:pBdr/>
              <w:tabs>
                <w:tab w:val="clear" w:leader="none" w:pos="4536"/>
                <w:tab w:val="clear" w:leader="none" w:pos="9072"/>
                <w:tab w:val="right" w:leader="none" w:pos="9746"/>
              </w:tabs>
              <w:spacing/>
              <w:ind/>
              <w:jc w:val="right"/>
              <w:rPr>
                <w:rFonts w:asciiTheme="minorHAnsi" w:hAnsiTheme="minorHAnsi" w:cstheme="minorHAnsi"/>
                <w:b/>
                <w:sz w:val="22"/>
                <w:szCs w:val="22"/>
                <w:lang w:val="en-US"/>
              </w:rPr>
            </w:pPr>
            <w:r/>
            <w:sdt>
              <w:sdtPr>
                <w15:appearance w15:val="boundingBox"/>
                <w:id w:val="540024111"/>
                <w:docPartObj>
                  <w:docPartGallery w:val="Page Numbers (Top of Page)"/>
                  <w:docPartUnique w:val="true"/>
                </w:docPartObj>
                <w:rPr>
                  <w:rFonts w:asciiTheme="minorHAnsi" w:hAnsiTheme="minorHAnsi" w:cstheme="minorHAnsi"/>
                  <w:sz w:val="22"/>
                  <w:szCs w:val="22"/>
                </w:rPr>
              </w:sdtPr>
              <w:sdtContent>
                <w:r>
                  <w:rPr>
                    <w:rFonts w:cs="Arial" w:asciiTheme="minorHAnsi" w:hAnsiTheme="minorHAnsi"/>
                    <w:sz w:val="16"/>
                    <w:szCs w:val="16"/>
                    <w:lang w:val="en-US"/>
                  </w:rPr>
                  <w:t xml:space="preserve">DAJ_M003ENG_v0</w:t>
                </w:r>
                <w:r>
                  <w:rPr>
                    <w:rFonts w:cs="Arial" w:asciiTheme="minorHAnsi" w:hAnsiTheme="minorHAnsi"/>
                    <w:sz w:val="16"/>
                    <w:szCs w:val="16"/>
                    <w:lang w:val="en-US"/>
                  </w:rPr>
                  <w:t xml:space="preserve">2, May 2021</w:t>
                </w:r>
                <w:r>
                  <w:rPr>
                    <w:rFonts w:asciiTheme="minorHAnsi" w:hAnsiTheme="minorHAnsi" w:cstheme="minorHAnsi"/>
                    <w:sz w:val="22"/>
                    <w:szCs w:val="22"/>
                    <w:lang w:val="en-US"/>
                  </w:rPr>
                  <w:tab/>
                </w:r>
                <w:sdt>
                  <w:sdtPr>
                    <w15:appearance w15:val="boundingBox"/>
                    <w:id w:val="1539232924"/>
                    <w:docPartObj>
                      <w:docPartGallery w:val="Page Numbers (Bottom of Page)"/>
                      <w:docPartUnique w:val="true"/>
                    </w:docPartObj>
                    <w:rPr>
                      <w:rFonts w:asciiTheme="minorHAnsi" w:hAnsiTheme="minorHAnsi"/>
                      <w:sz w:val="22"/>
                    </w:rPr>
                  </w:sdtPr>
                  <w:sdtContent>
                    <w:sdt>
                      <w:sdtPr>
                        <w15:appearance w15:val="boundingBox"/>
                        <w:id w:val="-1769616900"/>
                        <w:docPartObj>
                          <w:docPartGallery w:val="Page Numbers (Top of Page)"/>
                          <w:docPartUnique w:val="true"/>
                        </w:docPartObj>
                        <w:rPr>
                          <w:rFonts w:asciiTheme="minorHAnsi" w:hAnsiTheme="minorHAnsi"/>
                          <w:b/>
                          <w:sz w:val="22"/>
                        </w:rPr>
                      </w:sdtPr>
                      <w:sdtContent>
                        <w:r>
                          <w:rPr>
                            <w:rFonts w:asciiTheme="minorHAnsi" w:hAnsiTheme="minorHAnsi"/>
                            <w:b/>
                            <w:sz w:val="22"/>
                            <w:lang w:val="en-US"/>
                          </w:rPr>
                          <w:t xml:space="preserve">Page </w:t>
                        </w:r>
                        <w:r>
                          <w:rPr>
                            <w:rFonts w:asciiTheme="minorHAnsi" w:hAnsiTheme="minorHAnsi"/>
                            <w:b/>
                            <w:sz w:val="22"/>
                          </w:rPr>
                          <w:fldChar w:fldCharType="begin"/>
                        </w:r>
                        <w:r>
                          <w:rPr>
                            <w:rFonts w:asciiTheme="minorHAnsi" w:hAnsiTheme="minorHAnsi"/>
                            <w:b/>
                            <w:sz w:val="22"/>
                            <w:lang w:val="en-US"/>
                          </w:rPr>
                          <w:instrText xml:space="preserve">PAGE</w:instrText>
                        </w:r>
                        <w:r>
                          <w:rPr>
                            <w:rFonts w:asciiTheme="minorHAnsi" w:hAnsiTheme="minorHAnsi"/>
                            <w:b/>
                            <w:sz w:val="22"/>
                          </w:rPr>
                          <w:fldChar w:fldCharType="separate"/>
                        </w:r>
                        <w:r>
                          <w:rPr>
                            <w:rFonts w:asciiTheme="minorHAnsi" w:hAnsiTheme="minorHAnsi"/>
                            <w:b/>
                            <w:sz w:val="22"/>
                            <w:lang w:val="en-US"/>
                          </w:rPr>
                          <w:t xml:space="preserve">1</w:t>
                        </w:r>
                        <w:r>
                          <w:rPr>
                            <w:rFonts w:asciiTheme="minorHAnsi" w:hAnsiTheme="minorHAnsi"/>
                            <w:b/>
                            <w:sz w:val="22"/>
                          </w:rPr>
                          <w:fldChar w:fldCharType="end"/>
                        </w:r>
                        <w:r>
                          <w:rPr>
                            <w:rFonts w:asciiTheme="minorHAnsi" w:hAnsiTheme="minorHAnsi"/>
                            <w:b/>
                            <w:sz w:val="22"/>
                            <w:lang w:val="en-US"/>
                          </w:rPr>
                          <w:t xml:space="preserve"> of </w:t>
                        </w:r>
                        <w:r>
                          <w:rPr>
                            <w:rFonts w:asciiTheme="minorHAnsi" w:hAnsiTheme="minorHAnsi"/>
                            <w:b/>
                            <w:sz w:val="22"/>
                          </w:rPr>
                          <w:fldChar w:fldCharType="begin"/>
                        </w:r>
                        <w:r>
                          <w:rPr>
                            <w:rFonts w:asciiTheme="minorHAnsi" w:hAnsiTheme="minorHAnsi"/>
                            <w:b/>
                            <w:sz w:val="22"/>
                            <w:lang w:val="en-US"/>
                          </w:rPr>
                          <w:instrText xml:space="preserve">NUMPAGES</w:instrText>
                        </w:r>
                        <w:r>
                          <w:rPr>
                            <w:rFonts w:asciiTheme="minorHAnsi" w:hAnsiTheme="minorHAnsi"/>
                            <w:b/>
                            <w:sz w:val="22"/>
                          </w:rPr>
                          <w:fldChar w:fldCharType="separate"/>
                        </w:r>
                        <w:r>
                          <w:rPr>
                            <w:rFonts w:asciiTheme="minorHAnsi" w:hAnsiTheme="minorHAnsi"/>
                            <w:b/>
                            <w:sz w:val="22"/>
                            <w:lang w:val="en-US"/>
                          </w:rPr>
                          <w:t xml:space="preserve">1</w:t>
                        </w:r>
                        <w:r>
                          <w:rPr>
                            <w:rFonts w:asciiTheme="minorHAnsi" w:hAnsiTheme="minorHAnsi"/>
                            <w:b/>
                            <w:sz w:val="22"/>
                          </w:rPr>
                          <w:fldChar w:fldCharType="end"/>
                        </w:r>
                      </w:sdtContent>
                    </w:sdt>
                  </w:sdtContent>
                </w:sdt>
              </w:sdtContent>
            </w:sdt>
            <w:r/>
            <w:r>
              <w:rPr>
                <w:rFonts w:asciiTheme="minorHAnsi" w:hAnsiTheme="minorHAnsi" w:cstheme="minorHAnsi"/>
                <w:b/>
                <w:sz w:val="22"/>
                <w:szCs w:val="22"/>
                <w:lang w:val="en-US"/>
              </w:rPr>
            </w:r>
          </w:p>
          <w:p w14:paraId="79D2E3BB" w14:textId="30B39C44">
            <w:pPr>
              <w:pStyle w:val="1022"/>
              <w:widowControl w:val="false"/>
              <w:pBdr/>
              <w:spacing/>
              <w:ind/>
              <w:jc w:val="left"/>
              <w:rPr>
                <w:rFonts w:cs="Arial" w:asciiTheme="minorHAnsi" w:hAnsiTheme="minorHAnsi"/>
                <w:sz w:val="16"/>
                <w:szCs w:val="16"/>
              </w:rPr>
            </w:pPr>
            <w:r>
              <w:rPr>
                <w:rFonts w:asciiTheme="minorHAnsi" w:hAnsiTheme="minorHAnsi"/>
                <w:sz w:val="16"/>
                <w:szCs w:val="16"/>
              </w:rPr>
              <w:t xml:space="preserve">Expertise France </w:t>
            </w:r>
            <w:r>
              <w:rPr>
                <w:rFonts w:asciiTheme="minorHAnsi" w:hAnsiTheme="minorHAnsi"/>
                <w:sz w:val="16"/>
                <w:szCs w:val="16"/>
              </w:rPr>
              <w:t xml:space="preserve"> </w:t>
            </w:r>
            <w:r>
              <w:rPr>
                <w:rFonts w:asciiTheme="minorHAnsi" w:hAnsiTheme="minorHAnsi"/>
                <w:sz w:val="16"/>
                <w:szCs w:val="16"/>
              </w:rPr>
              <w:br/>
            </w:r>
            <w:r>
              <w:rPr>
                <w:rFonts w:cs="Arial" w:asciiTheme="minorHAnsi" w:hAnsiTheme="minorHAnsi"/>
                <w:sz w:val="16"/>
                <w:szCs w:val="16"/>
              </w:rPr>
              <w:t xml:space="preserve">SIRET : 808 734 792 – 40 Boulevar</w:t>
            </w:r>
            <w:r>
              <w:rPr>
                <w:rFonts w:cs="Arial" w:asciiTheme="minorHAnsi" w:hAnsiTheme="minorHAnsi"/>
                <w:sz w:val="16"/>
                <w:szCs w:val="16"/>
              </w:rPr>
              <w:t xml:space="preserve">d </w:t>
            </w:r>
            <w:r>
              <w:rPr>
                <w:rFonts w:cs="Arial" w:asciiTheme="minorHAnsi" w:hAnsiTheme="minorHAnsi"/>
                <w:sz w:val="16"/>
                <w:szCs w:val="16"/>
              </w:rPr>
              <w:t xml:space="preserve">de Port-Royal, 75</w:t>
            </w:r>
            <w:r>
              <w:rPr>
                <w:rFonts w:cs="Arial" w:asciiTheme="minorHAnsi" w:hAnsiTheme="minorHAnsi"/>
                <w:sz w:val="16"/>
                <w:szCs w:val="16"/>
              </w:rPr>
              <w:t xml:space="preserve">005 PARIS– France</w:t>
            </w:r>
            <w:r>
              <w:rPr>
                <w:rFonts w:cs="Arial" w:asciiTheme="minorHAnsi" w:hAnsiTheme="minorHAnsi"/>
                <w:sz w:val="16"/>
                <w:szCs w:val="16"/>
              </w:rPr>
            </w:r>
          </w:p>
          <w:p w14:paraId="38C1F828" w14:textId="3802F2F5">
            <w:pPr>
              <w:pStyle w:val="1002"/>
              <w:pBdr/>
              <w:tabs>
                <w:tab w:val="clear" w:leader="none" w:pos="4536"/>
                <w:tab w:val="clear" w:leader="none" w:pos="9072"/>
                <w:tab w:val="right" w:leader="none" w:pos="9746"/>
              </w:tabs>
              <w:spacing/>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22764C11" w14:textId="77777777">
      <w:pPr>
        <w:pBdr/>
        <w:spacing/>
        <w:ind/>
        <w:rPr/>
      </w:pPr>
      <w:r>
        <w:separator/>
      </w:r>
      <w:r/>
    </w:p>
  </w:footnote>
  <w:footnote w:type="continuationSeparator" w:id="0">
    <w:p w14:paraId="4F5D20EE"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6A64378" w14:textId="5E4506CF">
    <w:pPr>
      <w:pStyle w:val="1001"/>
      <w:pBdr/>
      <w:spacing/>
      <w:ind/>
      <w:rPr>
        <w:rFonts w:ascii="Calibri" w:hAnsi="Calibri" w:cs="Arial"/>
        <w:sz w:val="22"/>
        <w:szCs w:val="22"/>
      </w:rPr>
    </w:pPr>
    <w:r>
      <w:rPr>
        <w:rFonts w:ascii="Calibri" w:hAnsi="Calibri" w:cs="Arial"/>
        <w:sz w:val="22"/>
        <w:szCs w:val="22"/>
      </w:rPr>
    </w:r>
    <w:r>
      <w:rPr>
        <w:rFonts w:ascii="Calibri" w:hAnsi="Calibri" w:cs="Arial"/>
        <w:sz w:val="22"/>
        <w:szCs w:val="22"/>
      </w:rPr>
    </w:r>
  </w:p>
  <w:p w14:paraId="73772FA7" w14:textId="672099B9">
    <w:pPr>
      <w:pStyle w:val="1001"/>
      <w:pBdr/>
      <w:spacing/>
      <w:ind/>
      <w:rPr>
        <w:rFonts w:ascii="Calibri" w:hAnsi="Calibri" w:cs="Arial"/>
        <w:b/>
        <w:bCs/>
        <w:sz w:val="22"/>
        <w:szCs w:val="22"/>
      </w:rPr>
    </w:pPr>
    <w:r>
      <w:rPr>
        <w:rFonts w:ascii="Calibri" w:hAnsi="Calibri" w:cs="Arial"/>
        <w:b/>
        <w:bCs/>
        <w:sz w:val="22"/>
        <w:szCs w:val="22"/>
      </w:rPr>
      <w:t xml:space="preserve">TERMES DE RÉFÉRENCE/SPÉCIFICATIONS </w:t>
    </w:r>
    <w:r>
      <w:rPr>
        <w:rFonts w:ascii="Calibri" w:hAnsi="Calibri" w:cs="Arial"/>
        <w:b/>
        <w:bCs/>
        <w:sz w:val="22"/>
        <w:szCs w:val="22"/>
      </w:rPr>
    </w:r>
  </w:p>
  <w:p w14:paraId="3E6C0A6F" w14:textId="0FC1B7B2">
    <w:pPr>
      <w:pStyle w:val="1001"/>
      <w:pBdr/>
      <w:tabs>
        <w:tab w:val="clear" w:leader="none" w:pos="4536"/>
        <w:tab w:val="clear" w:leader="none" w:pos="9072"/>
        <w:tab w:val="right" w:leader="none" w:pos="9781"/>
      </w:tabs>
      <w:spacing/>
      <w:ind/>
      <w:rPr>
        <w:rFonts w:ascii="Calibri" w:hAnsi="Calibri" w:cs="Arial"/>
        <w:sz w:val="18"/>
        <w:u w:val="single"/>
      </w:rPr>
    </w:pPr>
    <w:r>
      <w:rPr>
        <w:u w:val="single"/>
      </w:rPr>
      <w:tab/>
    </w:r>
    <w:r>
      <w:rPr>
        <w:rFonts w:ascii="Calibri" w:hAnsi="Calibri" w:cs="Arial"/>
        <w:sz w:val="18"/>
        <w:u w:val="single"/>
      </w:rPr>
    </w:r>
  </w:p>
  <w:p w14:paraId="76B902E6" w14:textId="77777777">
    <w:pPr>
      <w:pStyle w:val="1001"/>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1D39D88" w14:textId="77777777">
    <w:pPr>
      <w:pStyle w:val="1001"/>
      <w:pBdr/>
      <w:spacing/>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1657216" behindDoc="1" locked="0" layoutInCell="0" allowOverlap="1">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r/>
                    </pic:nvPicPr>
                    <pic:blipFill rotWithShape="1">
                      <a:blip r:embed="rId1">
                        <a:lum bright="70000" contrast="-70000"/>
                      </a:blip>
                      <a:stretch/>
                    </pic:blipFill>
                    <pic:spPr bwMode="auto">
                      <a:xfrm>
                        <a:off x="0" y="0"/>
                        <a:ext cx="10706100" cy="1069340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1" o:title=""/>
              <o:lock v:ext="edit" rotation="t"/>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0" allowOverlap="1">
              <wp:simplePos x="0" y="0"/>
              <wp:positionH relativeFrom="margin">
                <wp:align>center</wp:align>
              </wp:positionH>
              <wp:positionV relativeFrom="margin">
                <wp:align>center</wp:align>
              </wp:positionV>
              <wp:extent cx="10706100" cy="10693400"/>
              <wp:effectExtent l="0" t="0" r="0" b="0"/>
              <wp:wrapNone/>
              <wp:docPr id="2" name="WordPictureWatermark2"/>
              <wp:cNvGraphicFramePr/>
              <a:graphic xmlns:a="http://schemas.openxmlformats.org/drawingml/2006/main">
                <a:graphicData uri="http://schemas.openxmlformats.org/drawingml/2006/picture">
                  <pic:pic xmlns:pic="http://schemas.openxmlformats.org/drawingml/2006/picture">
                    <pic:nvPicPr>
                      <pic:cNvPr id="0" name="" descr="Fond FEI"/>
                      <pic:cNvPicPr/>
                      <pic:nvPr/>
                    </pic:nvPicPr>
                    <pic:blipFill rotWithShape="1">
                      <a:blip r:embed="rId2"/>
                      <a:stretch/>
                    </pic:blipFill>
                    <pic:spPr bwMode="auto">
                      <a:xfrm>
                        <a:off x="0" y="0"/>
                        <a:ext cx="10706100" cy="1069340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EDFC669" w14:textId="489921E2">
    <w:pPr>
      <w:pStyle w:val="1001"/>
      <w:pBdr/>
      <w:spacing/>
      <w:ind/>
      <w:rPr/>
    </w:pPr>
    <w:r/>
    <w:bookmarkStart w:id="1" w:name="_Hlk62125806"/>
    <w:r/>
    <w:bookmarkStart w:id="2" w:name="_Hlk62125807"/>
    <w:r>
      <mc:AlternateContent>
        <mc:Choice Requires="wpg">
          <w:drawing>
            <wp:inline xmlns:wp="http://schemas.openxmlformats.org/drawingml/2006/wordprocessingDrawing" distT="0" distB="0" distL="0" distR="0">
              <wp:extent cx="2124000" cy="11160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rcRect l="10815" t="17177" r="11039" b="15858"/>
                      <a:stretch/>
                    </pic:blipFill>
                    <pic:spPr bwMode="auto">
                      <a:xfrm>
                        <a:off x="0" y="0"/>
                        <a:ext cx="2124000" cy="1116000"/>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67.24pt;height:87.87pt;mso-wrap-distance-left:0.00pt;mso-wrap-distance-top:0.00pt;mso-wrap-distance-right:0.00pt;mso-wrap-distance-bottom:0.00pt;z-index:1;" stroked="f">
              <v:imagedata r:id="rId1" o:title="" croptop="11257f" cropleft="7088f" cropbottom="10393f" cropright="7235f"/>
              <o:lock v:ext="edit" rotation="t"/>
            </v:shape>
          </w:pict>
        </mc:Fallback>
      </mc:AlternateContent>
    </w:r>
    <w:bookmarkEnd w:id="1"/>
    <w:r/>
    <w:bookmarkEnd w:id="2"/>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bullet"/>
      <w:pPr>
        <w:pBdr/>
        <w:tabs>
          <w:tab w:val="num" w:leader="none" w:pos="360"/>
        </w:tabs>
        <w:spacing/>
        <w:ind w:firstLine="0" w:left="0"/>
      </w:pPr>
      <w:pStyle w:val="1021"/>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017646AD"/>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2">
    <w:nsid w:val="01A6619A"/>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3">
    <w:nsid w:val="092922F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nsid w:val="0BB66A26"/>
    <w:lvl w:ilvl="0">
      <w:isLgl w:val="false"/>
      <w:lvlJc w:val="right"/>
      <w:lvlText w:val="%1."/>
      <w:numFmt w:val="upperRoman"/>
      <w:pPr>
        <w:pBdr/>
        <w:tabs>
          <w:tab w:val="num" w:leader="none" w:pos="720"/>
        </w:tabs>
        <w:spacing/>
        <w:ind w:hanging="180" w:left="720"/>
      </w:pPr>
      <w:rPr>
        <w:rFonts w:hint="default" w:ascii="Calibri" w:hAnsi="Calibri"/>
        <w:b/>
        <w:i w:val="0"/>
        <w:sz w:val="24"/>
      </w:rPr>
      <w:start w:val="1"/>
      <w:suff w:val="tab"/>
    </w:lvl>
    <w:lvl w:ilvl="1">
      <w:isLgl w:val="false"/>
      <w:lvlJc w:val="left"/>
      <w:lvlText w:val="%2)"/>
      <w:numFmt w:val="decimal"/>
      <w:pPr>
        <w:pBdr/>
        <w:tabs>
          <w:tab w:val="num" w:leader="none" w:pos="900"/>
        </w:tabs>
        <w:spacing/>
        <w:ind w:hanging="360" w:left="900"/>
      </w:pPr>
      <w:rPr>
        <w:rFonts w:hint="default" w:ascii="Calibri" w:hAnsi="Calibri"/>
        <w:b/>
        <w:i w:val="0"/>
        <w:sz w:val="22"/>
      </w:rPr>
      <w:start w:val="1"/>
      <w:suff w:val="tab"/>
    </w:lvl>
    <w:lvl w:ilvl="2">
      <w:isLgl w:val="false"/>
      <w:lvlJc w:val="left"/>
      <w:lvlText w:val="%3."/>
      <w:numFmt w:val="decimal"/>
      <w:pPr>
        <w:pBdr/>
        <w:tabs>
          <w:tab w:val="num" w:leader="none" w:pos="2340"/>
        </w:tabs>
        <w:spacing/>
        <w:ind w:hanging="360" w:left="2340"/>
      </w:pPr>
      <w:rPr>
        <w:rFonts w:hint="default" w:ascii="Calibri" w:hAnsi="Calibri"/>
        <w:b w:val="0"/>
        <w:i w:val="0"/>
        <w:sz w:val="22"/>
      </w:rPr>
      <w:start w:val="1"/>
      <w:suff w:val="tab"/>
    </w:lvl>
    <w:lvl w:ilvl="3">
      <w:isLgl w:val="false"/>
      <w:lvlJc w:val="left"/>
      <w:lvlText w:val="%4"/>
      <w:numFmt w:val="decimal"/>
      <w:pPr>
        <w:pBdr/>
        <w:spacing/>
        <w:ind w:hanging="360" w:left="2880"/>
      </w:pPr>
      <w:rPr>
        <w:rFonts w:hint="default"/>
      </w:rPr>
      <w:start w:val="3"/>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
    <w:nsid w:val="0C9A121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nsid w:val="16DE74C1"/>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7">
    <w:nsid w:val="18122C21"/>
    <w:lvl w:ilvl="0">
      <w:isLgl w:val="false"/>
      <w:lvlJc w:val="left"/>
      <w:lvlText w:val=""/>
      <w:numFmt w:val="bullet"/>
      <w:pPr>
        <w:pBdr/>
        <w:tabs>
          <w:tab w:val="num" w:leader="none" w:pos="720"/>
        </w:tabs>
        <w:spacing/>
        <w:ind w:hanging="360" w:left="720"/>
      </w:pPr>
      <w:rPr>
        <w:rFonts w:hint="default" w:ascii="Wingdings" w:hAnsi="Wingdings"/>
        <w:sz w:val="20"/>
      </w:rPr>
      <w:start w:val="1"/>
      <w:suff w:val="tab"/>
    </w:lvl>
    <w:lvl w:ilvl="1">
      <w:isLgl w:val="false"/>
      <w:lvlJc w:val="left"/>
      <w:lvlText w:val=""/>
      <w:numFmt w:val="bullet"/>
      <w:pPr>
        <w:pBdr/>
        <w:tabs>
          <w:tab w:val="num" w:leader="none" w:pos="1440"/>
        </w:tabs>
        <w:spacing/>
        <w:ind w:hanging="360" w:left="1440"/>
      </w:pPr>
      <w:rPr>
        <w:rFonts w:hint="default" w:ascii="Wingdings" w:hAnsi="Wingdings"/>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8">
    <w:nsid w:val="197552A2"/>
    <w:lvl w:ilvl="0">
      <w:isLgl w:val="false"/>
      <w:lvlJc w:val="left"/>
      <w:lvlText w:val=""/>
      <w:numFmt w:val="bullet"/>
      <w:pPr>
        <w:pBdr/>
        <w:spacing/>
        <w:ind w:hanging="360" w:left="1428"/>
      </w:pPr>
      <w:rPr>
        <w:rFonts w:hint="default" w:ascii="Symbol" w:hAnsi="Symbol"/>
      </w:rPr>
      <w:start w:val="1"/>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abstractNum w:abstractNumId="9">
    <w:nsid w:val="1B7925E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10">
    <w:nsid w:val="1E7060DC"/>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11">
    <w:nsid w:val="21822CE1"/>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2">
    <w:nsid w:val="23385F08"/>
    <w:lvl w:ilvl="0">
      <w:isLgl w:val="false"/>
      <w:lvlJc w:val="left"/>
      <w:lvlText w:val=""/>
      <w:numFmt w:val="bullet"/>
      <w:pPr>
        <w:pBdr/>
        <w:spacing/>
        <w:ind w:hanging="360" w:left="1068"/>
      </w:pPr>
      <w:rPr>
        <w:rFonts w:hint="default" w:ascii="Symbol" w:hAnsi="Symbol" w:eastAsia="Times New Roman" w:cstheme="minorHAnsi"/>
      </w:rPr>
      <w:start w:val="0"/>
      <w:suff w:val="tab"/>
    </w:lvl>
    <w:lvl w:ilvl="1">
      <w:isLgl w:val="false"/>
      <w:lvlJc w:val="left"/>
      <w:lvlText w:val="o"/>
      <w:numFmt w:val="bullet"/>
      <w:pPr>
        <w:pBdr/>
        <w:spacing/>
        <w:ind w:hanging="360" w:left="1788"/>
      </w:pPr>
      <w:rPr>
        <w:rFonts w:hint="default" w:ascii="Courier New" w:hAnsi="Courier New" w:cs="Courier New"/>
      </w:rPr>
      <w:start w:val="1"/>
      <w:suff w:val="tab"/>
    </w:lvl>
    <w:lvl w:ilvl="2">
      <w:isLgl w:val="false"/>
      <w:lvlJc w:val="left"/>
      <w:lvlText w:val=""/>
      <w:numFmt w:val="bullet"/>
      <w:pPr>
        <w:pBdr/>
        <w:spacing/>
        <w:ind w:hanging="360" w:left="2508"/>
      </w:pPr>
      <w:rPr>
        <w:rFonts w:hint="default" w:ascii="Wingdings" w:hAnsi="Wingdings"/>
      </w:rPr>
      <w:start w:val="1"/>
      <w:suff w:val="tab"/>
    </w:lvl>
    <w:lvl w:ilvl="3">
      <w:isLgl w:val="false"/>
      <w:lvlJc w:val="left"/>
      <w:lvlText w:val=""/>
      <w:numFmt w:val="bullet"/>
      <w:pPr>
        <w:pBdr/>
        <w:spacing/>
        <w:ind w:hanging="360" w:left="3228"/>
      </w:pPr>
      <w:rPr>
        <w:rFonts w:hint="default" w:ascii="Symbol" w:hAnsi="Symbol"/>
      </w:rPr>
      <w:start w:val="1"/>
      <w:suff w:val="tab"/>
    </w:lvl>
    <w:lvl w:ilvl="4">
      <w:isLgl w:val="false"/>
      <w:lvlJc w:val="left"/>
      <w:lvlText w:val="o"/>
      <w:numFmt w:val="bullet"/>
      <w:pPr>
        <w:pBdr/>
        <w:spacing/>
        <w:ind w:hanging="360" w:left="3948"/>
      </w:pPr>
      <w:rPr>
        <w:rFonts w:hint="default" w:ascii="Courier New" w:hAnsi="Courier New" w:cs="Courier New"/>
      </w:rPr>
      <w:start w:val="1"/>
      <w:suff w:val="tab"/>
    </w:lvl>
    <w:lvl w:ilvl="5">
      <w:isLgl w:val="false"/>
      <w:lvlJc w:val="left"/>
      <w:lvlText w:val=""/>
      <w:numFmt w:val="bullet"/>
      <w:pPr>
        <w:pBdr/>
        <w:spacing/>
        <w:ind w:hanging="360" w:left="4668"/>
      </w:pPr>
      <w:rPr>
        <w:rFonts w:hint="default" w:ascii="Wingdings" w:hAnsi="Wingdings"/>
      </w:rPr>
      <w:start w:val="1"/>
      <w:suff w:val="tab"/>
    </w:lvl>
    <w:lvl w:ilvl="6">
      <w:isLgl w:val="false"/>
      <w:lvlJc w:val="left"/>
      <w:lvlText w:val=""/>
      <w:numFmt w:val="bullet"/>
      <w:pPr>
        <w:pBdr/>
        <w:spacing/>
        <w:ind w:hanging="360" w:left="5388"/>
      </w:pPr>
      <w:rPr>
        <w:rFonts w:hint="default" w:ascii="Symbol" w:hAnsi="Symbol"/>
      </w:rPr>
      <w:start w:val="1"/>
      <w:suff w:val="tab"/>
    </w:lvl>
    <w:lvl w:ilvl="7">
      <w:isLgl w:val="false"/>
      <w:lvlJc w:val="left"/>
      <w:lvlText w:val="o"/>
      <w:numFmt w:val="bullet"/>
      <w:pPr>
        <w:pBdr/>
        <w:spacing/>
        <w:ind w:hanging="360" w:left="6108"/>
      </w:pPr>
      <w:rPr>
        <w:rFonts w:hint="default" w:ascii="Courier New" w:hAnsi="Courier New" w:cs="Courier New"/>
      </w:rPr>
      <w:start w:val="1"/>
      <w:suff w:val="tab"/>
    </w:lvl>
    <w:lvl w:ilvl="8">
      <w:isLgl w:val="false"/>
      <w:lvlJc w:val="left"/>
      <w:lvlText w:val=""/>
      <w:numFmt w:val="bullet"/>
      <w:pPr>
        <w:pBdr/>
        <w:spacing/>
        <w:ind w:hanging="360" w:left="6828"/>
      </w:pPr>
      <w:rPr>
        <w:rFonts w:hint="default" w:ascii="Wingdings" w:hAnsi="Wingdings"/>
      </w:rPr>
      <w:start w:val="1"/>
      <w:suff w:val="tab"/>
    </w:lvl>
  </w:abstractNum>
  <w:abstractNum w:abstractNumId="13">
    <w:nsid w:val="2A677C01"/>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14">
    <w:nsid w:val="2A844A5E"/>
    <w:lvl w:ilvl="0">
      <w:isLgl w:val="false"/>
      <w:lvlJc w:val="left"/>
      <w:lvlText w:val="%1)"/>
      <w:numFmt w:val="decimal"/>
      <w:pPr>
        <w:pBdr/>
        <w:tabs>
          <w:tab w:val="num" w:leader="none" w:pos="900"/>
        </w:tabs>
        <w:spacing/>
        <w:ind w:hanging="360" w:left="900"/>
      </w:pPr>
      <w:rPr>
        <w:rFonts w:hint="default" w:ascii="Calibri" w:hAnsi="Calibri"/>
        <w:b/>
        <w:i w:val="0"/>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5">
    <w:nsid w:val="309E4A33"/>
    <w:lvl w:ilvl="0">
      <w:isLgl w:val="false"/>
      <w:lvlJc w:val="left"/>
      <w:lvlText w:val="-"/>
      <w:numFmt w:val="bullet"/>
      <w:pPr>
        <w:pBdr/>
        <w:spacing/>
        <w:ind w:hanging="360" w:left="1260"/>
      </w:pPr>
      <w:rPr>
        <w:rFonts w:hint="default" w:ascii="Calibri" w:hAnsi="Calibri" w:eastAsia="Times New Roman" w:cs="Calibri"/>
      </w:rPr>
      <w:start w:val="0"/>
      <w:suff w:val="tab"/>
    </w:lvl>
    <w:lvl w:ilvl="1">
      <w:isLgl w:val="false"/>
      <w:lvlJc w:val="left"/>
      <w:lvlText w:val="o"/>
      <w:numFmt w:val="bullet"/>
      <w:pPr>
        <w:pBdr/>
        <w:spacing/>
        <w:ind w:hanging="360" w:left="1980"/>
      </w:pPr>
      <w:rPr>
        <w:rFonts w:hint="default" w:ascii="Courier New" w:hAnsi="Courier New" w:cs="Courier New"/>
      </w:rPr>
      <w:start w:val="1"/>
      <w:suff w:val="tab"/>
    </w:lvl>
    <w:lvl w:ilvl="2">
      <w:isLgl w:val="false"/>
      <w:lvlJc w:val="left"/>
      <w:lvlText w:val=""/>
      <w:numFmt w:val="bullet"/>
      <w:pPr>
        <w:pBdr/>
        <w:spacing/>
        <w:ind w:hanging="360" w:left="2700"/>
      </w:pPr>
      <w:rPr>
        <w:rFonts w:hint="default" w:ascii="Wingdings" w:hAnsi="Wingdings"/>
      </w:rPr>
      <w:start w:val="1"/>
      <w:suff w:val="tab"/>
    </w:lvl>
    <w:lvl w:ilvl="3">
      <w:isLgl w:val="false"/>
      <w:lvlJc w:val="left"/>
      <w:lvlText w:val=""/>
      <w:numFmt w:val="bullet"/>
      <w:pPr>
        <w:pBdr/>
        <w:spacing/>
        <w:ind w:hanging="360" w:left="3420"/>
      </w:pPr>
      <w:rPr>
        <w:rFonts w:hint="default" w:ascii="Symbol" w:hAnsi="Symbol"/>
      </w:rPr>
      <w:start w:val="1"/>
      <w:suff w:val="tab"/>
    </w:lvl>
    <w:lvl w:ilvl="4">
      <w:isLgl w:val="false"/>
      <w:lvlJc w:val="left"/>
      <w:lvlText w:val="o"/>
      <w:numFmt w:val="bullet"/>
      <w:pPr>
        <w:pBdr/>
        <w:spacing/>
        <w:ind w:hanging="360" w:left="4140"/>
      </w:pPr>
      <w:rPr>
        <w:rFonts w:hint="default" w:ascii="Courier New" w:hAnsi="Courier New" w:cs="Courier New"/>
      </w:rPr>
      <w:start w:val="1"/>
      <w:suff w:val="tab"/>
    </w:lvl>
    <w:lvl w:ilvl="5">
      <w:isLgl w:val="false"/>
      <w:lvlJc w:val="left"/>
      <w:lvlText w:val=""/>
      <w:numFmt w:val="bullet"/>
      <w:pPr>
        <w:pBdr/>
        <w:spacing/>
        <w:ind w:hanging="360" w:left="4860"/>
      </w:pPr>
      <w:rPr>
        <w:rFonts w:hint="default" w:ascii="Wingdings" w:hAnsi="Wingdings"/>
      </w:rPr>
      <w:start w:val="1"/>
      <w:suff w:val="tab"/>
    </w:lvl>
    <w:lvl w:ilvl="6">
      <w:isLgl w:val="false"/>
      <w:lvlJc w:val="left"/>
      <w:lvlText w:val=""/>
      <w:numFmt w:val="bullet"/>
      <w:pPr>
        <w:pBdr/>
        <w:spacing/>
        <w:ind w:hanging="360" w:left="5580"/>
      </w:pPr>
      <w:rPr>
        <w:rFonts w:hint="default" w:ascii="Symbol" w:hAnsi="Symbol"/>
      </w:rPr>
      <w:start w:val="1"/>
      <w:suff w:val="tab"/>
    </w:lvl>
    <w:lvl w:ilvl="7">
      <w:isLgl w:val="false"/>
      <w:lvlJc w:val="left"/>
      <w:lvlText w:val="o"/>
      <w:numFmt w:val="bullet"/>
      <w:pPr>
        <w:pBdr/>
        <w:spacing/>
        <w:ind w:hanging="360" w:left="6300"/>
      </w:pPr>
      <w:rPr>
        <w:rFonts w:hint="default" w:ascii="Courier New" w:hAnsi="Courier New" w:cs="Courier New"/>
      </w:rPr>
      <w:start w:val="1"/>
      <w:suff w:val="tab"/>
    </w:lvl>
    <w:lvl w:ilvl="8">
      <w:isLgl w:val="false"/>
      <w:lvlJc w:val="left"/>
      <w:lvlText w:val=""/>
      <w:numFmt w:val="bullet"/>
      <w:pPr>
        <w:pBdr/>
        <w:spacing/>
        <w:ind w:hanging="360" w:left="7020"/>
      </w:pPr>
      <w:rPr>
        <w:rFonts w:hint="default" w:ascii="Wingdings" w:hAnsi="Wingdings"/>
      </w:rPr>
      <w:start w:val="1"/>
      <w:suff w:val="tab"/>
    </w:lvl>
  </w:abstractNum>
  <w:abstractNum w:abstractNumId="16">
    <w:nsid w:val="314567DD"/>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17">
    <w:nsid w:val="31972F8B"/>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8">
    <w:nsid w:val="388D3A2A"/>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9">
    <w:nsid w:val="40233A33"/>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20">
    <w:nsid w:val="40E43EB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21">
    <w:nsid w:val="412F722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4196524B"/>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3">
    <w:nsid w:val="434A21CD"/>
    <w:lvl w:ilvl="0">
      <w:isLgl w:val="false"/>
      <w:lvlJc w:val="left"/>
      <w:lvlText w:val="%1."/>
      <w:numFmt w:val="decimal"/>
      <w:pPr>
        <w:pBdr/>
        <w:tabs>
          <w:tab w:val="num" w:leader="none" w:pos="900"/>
        </w:tabs>
        <w:spacing/>
        <w:ind w:hanging="360" w:left="900"/>
      </w:pPr>
      <w:rPr>
        <w:rFonts w:hint="default"/>
        <w:b/>
        <w:i w:val="0"/>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4">
    <w:nsid w:val="4EEE365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53400164"/>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26">
    <w:nsid w:val="537877D0"/>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27">
    <w:nsid w:val="54434BF5"/>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28">
    <w:nsid w:val="547A1E8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9">
    <w:nsid w:val="5BA64932"/>
    <w:lvl w:ilvl="0">
      <w:isLgl w:val="false"/>
      <w:lvlJc w:val="left"/>
      <w:lvlText w:val="%1."/>
      <w:numFmt w:val="decimal"/>
      <w:pPr>
        <w:pBdr/>
        <w:spacing/>
        <w:ind w:hanging="360" w:left="1068"/>
      </w:pPr>
      <w:rPr>
        <w:rFonts w:hint="default"/>
      </w:rPr>
      <w:start w:val="1"/>
      <w:suff w:val="tab"/>
    </w:lvl>
    <w:lvl w:ilvl="1">
      <w:isLgl w:val="false"/>
      <w:lvlJc w:val="left"/>
      <w:lvlText w:val="%2."/>
      <w:numFmt w:val="lowerLetter"/>
      <w:pPr>
        <w:pBdr/>
        <w:spacing/>
        <w:ind w:hanging="360" w:left="1788"/>
      </w:pPr>
      <w:rPr/>
      <w:start w:val="1"/>
      <w:suff w:val="tab"/>
    </w:lvl>
    <w:lvl w:ilvl="2">
      <w:isLgl w:val="false"/>
      <w:lvlJc w:val="right"/>
      <w:lvlText w:val="%3."/>
      <w:numFmt w:val="lowerRoman"/>
      <w:pPr>
        <w:pBdr/>
        <w:spacing/>
        <w:ind w:hanging="180" w:left="2508"/>
      </w:pPr>
      <w:rPr/>
      <w:start w:val="1"/>
      <w:suff w:val="tab"/>
    </w:lvl>
    <w:lvl w:ilvl="3">
      <w:isLgl w:val="false"/>
      <w:lvlJc w:val="left"/>
      <w:lvlText w:val="%4."/>
      <w:numFmt w:val="decimal"/>
      <w:pPr>
        <w:pBdr/>
        <w:spacing/>
        <w:ind w:hanging="360" w:left="3228"/>
      </w:pPr>
      <w:rPr/>
      <w:start w:val="1"/>
      <w:suff w:val="tab"/>
    </w:lvl>
    <w:lvl w:ilvl="4">
      <w:isLgl w:val="false"/>
      <w:lvlJc w:val="left"/>
      <w:lvlText w:val="%5."/>
      <w:numFmt w:val="lowerLetter"/>
      <w:pPr>
        <w:pBdr/>
        <w:spacing/>
        <w:ind w:hanging="360" w:left="3948"/>
      </w:pPr>
      <w:rPr/>
      <w:start w:val="1"/>
      <w:suff w:val="tab"/>
    </w:lvl>
    <w:lvl w:ilvl="5">
      <w:isLgl w:val="false"/>
      <w:lvlJc w:val="right"/>
      <w:lvlText w:val="%6."/>
      <w:numFmt w:val="lowerRoman"/>
      <w:pPr>
        <w:pBdr/>
        <w:spacing/>
        <w:ind w:hanging="180" w:left="4668"/>
      </w:pPr>
      <w:rPr/>
      <w:start w:val="1"/>
      <w:suff w:val="tab"/>
    </w:lvl>
    <w:lvl w:ilvl="6">
      <w:isLgl w:val="false"/>
      <w:lvlJc w:val="left"/>
      <w:lvlText w:val="%7."/>
      <w:numFmt w:val="decimal"/>
      <w:pPr>
        <w:pBdr/>
        <w:spacing/>
        <w:ind w:hanging="360" w:left="5388"/>
      </w:pPr>
      <w:rPr/>
      <w:start w:val="1"/>
      <w:suff w:val="tab"/>
    </w:lvl>
    <w:lvl w:ilvl="7">
      <w:isLgl w:val="false"/>
      <w:lvlJc w:val="left"/>
      <w:lvlText w:val="%8."/>
      <w:numFmt w:val="lowerLetter"/>
      <w:pPr>
        <w:pBdr/>
        <w:spacing/>
        <w:ind w:hanging="360" w:left="6108"/>
      </w:pPr>
      <w:rPr/>
      <w:start w:val="1"/>
      <w:suff w:val="tab"/>
    </w:lvl>
    <w:lvl w:ilvl="8">
      <w:isLgl w:val="false"/>
      <w:lvlJc w:val="right"/>
      <w:lvlText w:val="%9."/>
      <w:numFmt w:val="lowerRoman"/>
      <w:pPr>
        <w:pBdr/>
        <w:spacing/>
        <w:ind w:hanging="180" w:left="6828"/>
      </w:pPr>
      <w:rPr/>
      <w:start w:val="1"/>
      <w:suff w:val="tab"/>
    </w:lvl>
  </w:abstractNum>
  <w:abstractNum w:abstractNumId="30">
    <w:nsid w:val="5BD836DA"/>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31">
    <w:nsid w:val="5CC70E2F"/>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32">
    <w:nsid w:val="5EE0016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abstractNum w:abstractNumId="33">
    <w:nsid w:val="60E341C1"/>
    <w:lvl w:ilvl="0">
      <w:isLgl w:val="false"/>
      <w:lvlJc w:val="left"/>
      <w:lvlText w:val="o"/>
      <w:numFmt w:val="bullet"/>
      <w:pPr>
        <w:pBdr/>
        <w:spacing/>
        <w:ind w:hanging="360" w:left="720"/>
      </w:pPr>
      <w:rPr>
        <w:rFonts w:hint="default" w:ascii="Courier New" w:hAnsi="Courier New" w:cs="Courier New"/>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nsid w:val="6AAE5F8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5">
    <w:nsid w:val="6C6A7B48"/>
    <w:lvl w:ilvl="0">
      <w:isLgl w:val="false"/>
      <w:lvlJc w:val="left"/>
      <w:lvlText w:val="%1)"/>
      <w:numFmt w:val="decimal"/>
      <w:pPr>
        <w:pBdr/>
        <w:spacing/>
        <w:ind w:hanging="360" w:left="720"/>
      </w:pPr>
      <w:rPr>
        <w:rFonts w:hint="default" w:ascii="Calibri" w:hAnsi="Calibri"/>
        <w:b/>
        <w:i w:val="0"/>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6">
    <w:nsid w:val="72FB4A4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7">
    <w:nsid w:val="7B2810B0"/>
    <w:lvl w:ilvl="0">
      <w:isLgl w:val="false"/>
      <w:lvlJc w:val="left"/>
      <w:lvlText w:val="o"/>
      <w:numFmt w:val="bullet"/>
      <w:pPr>
        <w:pBdr/>
        <w:tabs>
          <w:tab w:val="num" w:leader="none" w:pos="720"/>
        </w:tabs>
        <w:spacing/>
        <w:ind w:hanging="360" w:left="720"/>
      </w:pPr>
      <w:rPr>
        <w:rFonts w:hint="default" w:ascii="Courier New" w:hAnsi="Courier New"/>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3">
      <w:isLgl w:val="false"/>
      <w:lvlJc w:val="left"/>
      <w:lvlText w:val="o"/>
      <w:numFmt w:val="bullet"/>
      <w:pPr>
        <w:pBdr/>
        <w:tabs>
          <w:tab w:val="num" w:leader="none" w:pos="2880"/>
        </w:tabs>
        <w:spacing/>
        <w:ind w:hanging="360" w:left="2880"/>
      </w:pPr>
      <w:rPr>
        <w:rFonts w:hint="default" w:ascii="Courier New" w:hAnsi="Courier New"/>
        <w:sz w:val="20"/>
      </w:rPr>
      <w:start w:val="1"/>
      <w:suff w:val="tab"/>
    </w:lvl>
    <w:lvl w:ilvl="4">
      <w:isLgl w:val="false"/>
      <w:lvlJc w:val="left"/>
      <w:lvlText w:val="o"/>
      <w:numFmt w:val="bullet"/>
      <w:pPr>
        <w:pBdr/>
        <w:tabs>
          <w:tab w:val="num" w:leader="none" w:pos="3600"/>
        </w:tabs>
        <w:spacing/>
        <w:ind w:hanging="360" w:left="3600"/>
      </w:pPr>
      <w:rPr>
        <w:rFonts w:hint="default" w:ascii="Courier New" w:hAnsi="Courier New"/>
        <w:sz w:val="20"/>
      </w:rPr>
      <w:start w:val="1"/>
      <w:suff w:val="tab"/>
    </w:lvl>
    <w:lvl w:ilvl="5">
      <w:isLgl w:val="false"/>
      <w:lvlJc w:val="left"/>
      <w:lvlText w:val="o"/>
      <w:numFmt w:val="bullet"/>
      <w:pPr>
        <w:pBdr/>
        <w:tabs>
          <w:tab w:val="num" w:leader="none" w:pos="4320"/>
        </w:tabs>
        <w:spacing/>
        <w:ind w:hanging="360" w:left="4320"/>
      </w:pPr>
      <w:rPr>
        <w:rFonts w:hint="default" w:ascii="Courier New" w:hAnsi="Courier New"/>
        <w:sz w:val="20"/>
      </w:rPr>
      <w:start w:val="1"/>
      <w:suff w:val="tab"/>
    </w:lvl>
    <w:lvl w:ilvl="6">
      <w:isLgl w:val="false"/>
      <w:lvlJc w:val="left"/>
      <w:lvlText w:val="o"/>
      <w:numFmt w:val="bullet"/>
      <w:pPr>
        <w:pBdr/>
        <w:tabs>
          <w:tab w:val="num" w:leader="none" w:pos="5040"/>
        </w:tabs>
        <w:spacing/>
        <w:ind w:hanging="360" w:left="5040"/>
      </w:pPr>
      <w:rPr>
        <w:rFonts w:hint="default" w:ascii="Courier New" w:hAnsi="Courier New"/>
        <w:sz w:val="20"/>
      </w:rPr>
      <w:start w:val="1"/>
      <w:suff w:val="tab"/>
    </w:lvl>
    <w:lvl w:ilvl="7">
      <w:isLgl w:val="false"/>
      <w:lvlJc w:val="left"/>
      <w:lvlText w:val="o"/>
      <w:numFmt w:val="bullet"/>
      <w:pPr>
        <w:pBdr/>
        <w:tabs>
          <w:tab w:val="num" w:leader="none" w:pos="5760"/>
        </w:tabs>
        <w:spacing/>
        <w:ind w:hanging="360" w:left="5760"/>
      </w:pPr>
      <w:rPr>
        <w:rFonts w:hint="default" w:ascii="Courier New" w:hAnsi="Courier New"/>
        <w:sz w:val="20"/>
      </w:rPr>
      <w:start w:val="1"/>
      <w:suff w:val="tab"/>
    </w:lvl>
    <w:lvl w:ilvl="8">
      <w:isLgl w:val="false"/>
      <w:lvlJc w:val="left"/>
      <w:lvlText w:val="o"/>
      <w:numFmt w:val="bullet"/>
      <w:pPr>
        <w:pBdr/>
        <w:tabs>
          <w:tab w:val="num" w:leader="none" w:pos="6480"/>
        </w:tabs>
        <w:spacing/>
        <w:ind w:hanging="360" w:left="6480"/>
      </w:pPr>
      <w:rPr>
        <w:rFonts w:hint="default" w:ascii="Courier New" w:hAnsi="Courier New"/>
        <w:sz w:val="20"/>
      </w:rPr>
      <w:start w:val="1"/>
      <w:suff w:val="tab"/>
    </w:lvl>
  </w:abstractNum>
  <w:abstractNum w:abstractNumId="38">
    <w:nsid w:val="7DA922BB"/>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
      <w:numFmt w:val="bullet"/>
      <w:pPr>
        <w:pBdr/>
        <w:tabs>
          <w:tab w:val="num" w:leader="none" w:pos="1440"/>
        </w:tabs>
        <w:spacing/>
        <w:ind w:hanging="360" w:left="1440"/>
      </w:pPr>
      <w:rPr>
        <w:rFonts w:hint="default" w:ascii="Symbol" w:hAnsi="Symbol"/>
        <w:sz w:val="20"/>
      </w:rPr>
      <w:start w:val="1"/>
      <w:suff w:val="tab"/>
    </w:lvl>
    <w:lvl w:ilvl="2">
      <w:isLgl w:val="false"/>
      <w:lvlJc w:val="left"/>
      <w:lvlText w:val=""/>
      <w:numFmt w:val="bullet"/>
      <w:pPr>
        <w:pBdr/>
        <w:tabs>
          <w:tab w:val="num" w:leader="none" w:pos="2160"/>
        </w:tabs>
        <w:spacing/>
        <w:ind w:hanging="360" w:left="2160"/>
      </w:pPr>
      <w:rPr>
        <w:rFonts w:hint="default" w:ascii="Symbol" w:hAnsi="Symbol"/>
        <w:sz w:val="20"/>
      </w:rPr>
      <w:start w:val="1"/>
      <w:suff w:val="tab"/>
    </w:lvl>
    <w:lvl w:ilvl="3">
      <w:isLgl w:val="false"/>
      <w:lvlJc w:val="left"/>
      <w:lvlText w:val=""/>
      <w:numFmt w:val="bullet"/>
      <w:pPr>
        <w:pBdr/>
        <w:tabs>
          <w:tab w:val="num" w:leader="none" w:pos="2880"/>
        </w:tabs>
        <w:spacing/>
        <w:ind w:hanging="360" w:left="2880"/>
      </w:pPr>
      <w:rPr>
        <w:rFonts w:hint="default" w:ascii="Symbol" w:hAnsi="Symbol"/>
        <w:sz w:val="20"/>
      </w:rPr>
      <w:start w:val="1"/>
      <w:suff w:val="tab"/>
    </w:lvl>
    <w:lvl w:ilvl="4">
      <w:isLgl w:val="false"/>
      <w:lvlJc w:val="left"/>
      <w:lvlText w:val=""/>
      <w:numFmt w:val="bullet"/>
      <w:pPr>
        <w:pBdr/>
        <w:tabs>
          <w:tab w:val="num" w:leader="none" w:pos="3600"/>
        </w:tabs>
        <w:spacing/>
        <w:ind w:hanging="360" w:left="3600"/>
      </w:pPr>
      <w:rPr>
        <w:rFonts w:hint="default" w:ascii="Symbol" w:hAnsi="Symbol"/>
        <w:sz w:val="20"/>
      </w:rPr>
      <w:start w:val="1"/>
      <w:suff w:val="tab"/>
    </w:lvl>
    <w:lvl w:ilvl="5">
      <w:isLgl w:val="false"/>
      <w:lvlJc w:val="left"/>
      <w:lvlText w:val=""/>
      <w:numFmt w:val="bullet"/>
      <w:pPr>
        <w:pBdr/>
        <w:tabs>
          <w:tab w:val="num" w:leader="none" w:pos="4320"/>
        </w:tabs>
        <w:spacing/>
        <w:ind w:hanging="360" w:left="4320"/>
      </w:pPr>
      <w:rPr>
        <w:rFonts w:hint="default" w:ascii="Symbol" w:hAnsi="Symbol"/>
        <w:sz w:val="20"/>
      </w:rPr>
      <w:start w:val="1"/>
      <w:suff w:val="tab"/>
    </w:lvl>
    <w:lvl w:ilvl="6">
      <w:isLgl w:val="false"/>
      <w:lvlJc w:val="left"/>
      <w:lvlText w:val=""/>
      <w:numFmt w:val="bullet"/>
      <w:pPr>
        <w:pBdr/>
        <w:tabs>
          <w:tab w:val="num" w:leader="none" w:pos="5040"/>
        </w:tabs>
        <w:spacing/>
        <w:ind w:hanging="360" w:left="5040"/>
      </w:pPr>
      <w:rPr>
        <w:rFonts w:hint="default" w:ascii="Symbol" w:hAnsi="Symbol"/>
        <w:sz w:val="20"/>
      </w:rPr>
      <w:start w:val="1"/>
      <w:suff w:val="tab"/>
    </w:lvl>
    <w:lvl w:ilvl="7">
      <w:isLgl w:val="false"/>
      <w:lvlJc w:val="left"/>
      <w:lvlText w:val=""/>
      <w:numFmt w:val="bullet"/>
      <w:pPr>
        <w:pBdr/>
        <w:tabs>
          <w:tab w:val="num" w:leader="none" w:pos="5760"/>
        </w:tabs>
        <w:spacing/>
        <w:ind w:hanging="360" w:left="5760"/>
      </w:pPr>
      <w:rPr>
        <w:rFonts w:hint="default" w:ascii="Symbol" w:hAnsi="Symbol"/>
        <w:sz w:val="20"/>
      </w:rPr>
      <w:start w:val="1"/>
      <w:suff w:val="tab"/>
    </w:lvl>
    <w:lvl w:ilvl="8">
      <w:isLgl w:val="false"/>
      <w:lvlJc w:val="left"/>
      <w:lvlText w:val=""/>
      <w:numFmt w:val="bullet"/>
      <w:pPr>
        <w:pBdr/>
        <w:tabs>
          <w:tab w:val="num" w:leader="none" w:pos="6480"/>
        </w:tabs>
        <w:spacing/>
        <w:ind w:hanging="360" w:left="6480"/>
      </w:pPr>
      <w:rPr>
        <w:rFonts w:hint="default" w:ascii="Symbol" w:hAnsi="Symbol"/>
        <w:sz w:val="20"/>
      </w:rPr>
      <w:start w:val="1"/>
      <w:suff w:val="tab"/>
    </w:lvl>
  </w:abstractNum>
  <w:num w:numId="1">
    <w:abstractNumId w:val="4"/>
  </w:num>
  <w:num w:numId="2">
    <w:abstractNumId w:val="28"/>
  </w:num>
  <w:num w:numId="3">
    <w:abstractNumId w:val="0"/>
  </w:num>
  <w:num w:numId="4">
    <w:abstractNumId w:val="17"/>
  </w:num>
  <w:num w:numId="5">
    <w:abstractNumId w:val="1"/>
  </w:num>
  <w:num w:numId="6">
    <w:abstractNumId w:val="3"/>
  </w:num>
  <w:num w:numId="7">
    <w:abstractNumId w:val="29"/>
  </w:num>
  <w:num w:numId="8">
    <w:abstractNumId w:val="15"/>
  </w:num>
  <w:num w:numId="9">
    <w:abstractNumId w:val="13"/>
  </w:num>
  <w:num w:numId="10">
    <w:abstractNumId w:val="26"/>
  </w:num>
  <w:num w:numId="11">
    <w:abstractNumId w:val="7"/>
  </w:num>
  <w:num w:numId="12">
    <w:abstractNumId w:val="30"/>
  </w:num>
  <w:num w:numId="13">
    <w:abstractNumId w:val="6"/>
  </w:num>
  <w:num w:numId="14">
    <w:abstractNumId w:val="10"/>
  </w:num>
  <w:num w:numId="15">
    <w:abstractNumId w:val="9"/>
  </w:num>
  <w:num w:numId="16">
    <w:abstractNumId w:val="20"/>
  </w:num>
  <w:num w:numId="17">
    <w:abstractNumId w:val="16"/>
  </w:num>
  <w:num w:numId="18">
    <w:abstractNumId w:val="32"/>
  </w:num>
  <w:num w:numId="19">
    <w:abstractNumId w:val="19"/>
  </w:num>
  <w:num w:numId="20">
    <w:abstractNumId w:val="38"/>
  </w:num>
  <w:num w:numId="21">
    <w:abstractNumId w:val="37"/>
  </w:num>
  <w:num w:numId="22">
    <w:abstractNumId w:val="25"/>
  </w:num>
  <w:num w:numId="23">
    <w:abstractNumId w:val="2"/>
  </w:num>
  <w:num w:numId="24">
    <w:abstractNumId w:val="31"/>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2"/>
  </w:num>
  <w:num w:numId="29">
    <w:abstractNumId w:val="36"/>
  </w:num>
  <w:num w:numId="30">
    <w:abstractNumId w:val="8"/>
  </w:num>
  <w:num w:numId="31">
    <w:abstractNumId w:val="14"/>
  </w:num>
  <w:num w:numId="32">
    <w:abstractNumId w:val="23"/>
  </w:num>
  <w:num w:numId="33">
    <w:abstractNumId w:val="11"/>
  </w:num>
  <w:num w:numId="34">
    <w:abstractNumId w:val="22"/>
  </w:num>
  <w:num w:numId="35">
    <w:abstractNumId w:val="34"/>
  </w:num>
  <w:num w:numId="36">
    <w:abstractNumId w:val="21"/>
  </w:num>
  <w:num w:numId="37">
    <w:abstractNumId w:val="24"/>
  </w:num>
  <w:num w:numId="38">
    <w:abstractNumId w:val="35"/>
  </w:num>
  <w:num w:numId="39">
    <w:abstractNumId w:val="18"/>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99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99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99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99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99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99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99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99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99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99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99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99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99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99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99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99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99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99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99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99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99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99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99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99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99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99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99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99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99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99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99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99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99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99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99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99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99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99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99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99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99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99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99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99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99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99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99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99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99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99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99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99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99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99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99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99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99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99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99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99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99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99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99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99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99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99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99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99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99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99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99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99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99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99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99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99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99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99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99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99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99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99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99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99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99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99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99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99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99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99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99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99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99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99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99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99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99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99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99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99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99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99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99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99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99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99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99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993"/>
    <w:next w:val="993"/>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1">
    <w:name w:val="Heading 3"/>
    <w:basedOn w:val="993"/>
    <w:next w:val="993"/>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3">
    <w:name w:val="Heading 5"/>
    <w:basedOn w:val="993"/>
    <w:next w:val="993"/>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993"/>
    <w:next w:val="993"/>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993"/>
    <w:next w:val="993"/>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993"/>
    <w:next w:val="993"/>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993"/>
    <w:next w:val="993"/>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996"/>
    <w:link w:val="139"/>
    <w:uiPriority w:val="9"/>
    <w:pPr>
      <w:pBdr/>
      <w:spacing/>
      <w:ind/>
    </w:pPr>
    <w:rPr>
      <w:rFonts w:ascii="Arial" w:hAnsi="Arial" w:eastAsia="Arial" w:cs="Arial"/>
      <w:color w:val="0f4761" w:themeColor="accent1" w:themeShade="BF"/>
      <w:sz w:val="40"/>
      <w:szCs w:val="40"/>
    </w:rPr>
  </w:style>
  <w:style w:type="character" w:styleId="152">
    <w:name w:val="Heading 3 Char"/>
    <w:basedOn w:val="996"/>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996"/>
    <w:link w:val="995"/>
    <w:uiPriority w:val="9"/>
    <w:pPr>
      <w:pBdr/>
      <w:spacing/>
      <w:ind/>
    </w:pPr>
    <w:rPr>
      <w:rFonts w:ascii="Arial" w:hAnsi="Arial" w:eastAsia="Arial" w:cs="Arial"/>
      <w:i/>
      <w:iCs/>
      <w:color w:val="0f4761" w:themeColor="accent1" w:themeShade="BF"/>
    </w:rPr>
  </w:style>
  <w:style w:type="character" w:styleId="154">
    <w:name w:val="Heading 5 Char"/>
    <w:basedOn w:val="996"/>
    <w:link w:val="143"/>
    <w:uiPriority w:val="9"/>
    <w:pPr>
      <w:pBdr/>
      <w:spacing/>
      <w:ind/>
    </w:pPr>
    <w:rPr>
      <w:rFonts w:ascii="Arial" w:hAnsi="Arial" w:eastAsia="Arial" w:cs="Arial"/>
      <w:color w:val="0f4761" w:themeColor="accent1" w:themeShade="BF"/>
    </w:rPr>
  </w:style>
  <w:style w:type="character" w:styleId="155">
    <w:name w:val="Heading 6 Char"/>
    <w:basedOn w:val="996"/>
    <w:link w:val="144"/>
    <w:uiPriority w:val="9"/>
    <w:pPr>
      <w:pBdr/>
      <w:spacing/>
      <w:ind/>
    </w:pPr>
    <w:rPr>
      <w:rFonts w:ascii="Arial" w:hAnsi="Arial" w:eastAsia="Arial" w:cs="Arial"/>
      <w:i/>
      <w:iCs/>
      <w:color w:val="595959" w:themeColor="text1" w:themeTint="A6"/>
    </w:rPr>
  </w:style>
  <w:style w:type="character" w:styleId="156">
    <w:name w:val="Heading 7 Char"/>
    <w:basedOn w:val="996"/>
    <w:link w:val="145"/>
    <w:uiPriority w:val="9"/>
    <w:pPr>
      <w:pBdr/>
      <w:spacing/>
      <w:ind/>
    </w:pPr>
    <w:rPr>
      <w:rFonts w:ascii="Arial" w:hAnsi="Arial" w:eastAsia="Arial" w:cs="Arial"/>
      <w:color w:val="595959" w:themeColor="text1" w:themeTint="A6"/>
    </w:rPr>
  </w:style>
  <w:style w:type="character" w:styleId="157">
    <w:name w:val="Heading 8 Char"/>
    <w:basedOn w:val="996"/>
    <w:link w:val="146"/>
    <w:uiPriority w:val="9"/>
    <w:pPr>
      <w:pBdr/>
      <w:spacing/>
      <w:ind/>
    </w:pPr>
    <w:rPr>
      <w:rFonts w:ascii="Arial" w:hAnsi="Arial" w:eastAsia="Arial" w:cs="Arial"/>
      <w:i/>
      <w:iCs/>
      <w:color w:val="272727" w:themeColor="text1" w:themeTint="D8"/>
    </w:rPr>
  </w:style>
  <w:style w:type="character" w:styleId="158">
    <w:name w:val="Heading 9 Char"/>
    <w:basedOn w:val="996"/>
    <w:link w:val="147"/>
    <w:uiPriority w:val="9"/>
    <w:pPr>
      <w:pBdr/>
      <w:spacing/>
      <w:ind/>
    </w:pPr>
    <w:rPr>
      <w:rFonts w:ascii="Arial" w:hAnsi="Arial" w:eastAsia="Arial" w:cs="Arial"/>
      <w:i/>
      <w:iCs/>
      <w:color w:val="272727" w:themeColor="text1" w:themeTint="D8"/>
    </w:rPr>
  </w:style>
  <w:style w:type="paragraph" w:styleId="159">
    <w:name w:val="Title"/>
    <w:basedOn w:val="993"/>
    <w:next w:val="993"/>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996"/>
    <w:link w:val="159"/>
    <w:uiPriority w:val="10"/>
    <w:pPr>
      <w:pBdr/>
      <w:spacing/>
      <w:ind/>
    </w:pPr>
    <w:rPr>
      <w:rFonts w:ascii="Arial" w:hAnsi="Arial" w:eastAsia="Arial" w:cs="Arial"/>
      <w:spacing w:val="-10"/>
      <w:sz w:val="56"/>
      <w:szCs w:val="56"/>
    </w:rPr>
  </w:style>
  <w:style w:type="paragraph" w:styleId="161">
    <w:name w:val="Subtitle"/>
    <w:basedOn w:val="993"/>
    <w:next w:val="993"/>
    <w:link w:val="162"/>
    <w:uiPriority w:val="11"/>
    <w:qFormat/>
    <w:pPr>
      <w:numPr>
        <w:ilvl w:val="1"/>
      </w:numPr>
      <w:pBdr/>
      <w:spacing/>
      <w:ind/>
    </w:pPr>
    <w:rPr>
      <w:color w:val="595959" w:themeColor="text1" w:themeTint="A6"/>
      <w:spacing w:val="15"/>
      <w:sz w:val="28"/>
      <w:szCs w:val="28"/>
    </w:rPr>
  </w:style>
  <w:style w:type="character" w:styleId="162">
    <w:name w:val="Subtitle Char"/>
    <w:basedOn w:val="996"/>
    <w:link w:val="161"/>
    <w:uiPriority w:val="11"/>
    <w:pPr>
      <w:pBdr/>
      <w:spacing/>
      <w:ind/>
    </w:pPr>
    <w:rPr>
      <w:color w:val="595959" w:themeColor="text1" w:themeTint="A6"/>
      <w:spacing w:val="15"/>
      <w:sz w:val="28"/>
      <w:szCs w:val="28"/>
    </w:rPr>
  </w:style>
  <w:style w:type="paragraph" w:styleId="163">
    <w:name w:val="Quote"/>
    <w:basedOn w:val="993"/>
    <w:next w:val="993"/>
    <w:link w:val="164"/>
    <w:uiPriority w:val="29"/>
    <w:qFormat/>
    <w:pPr>
      <w:pBdr/>
      <w:spacing w:before="160"/>
      <w:ind/>
      <w:jc w:val="center"/>
    </w:pPr>
    <w:rPr>
      <w:i/>
      <w:iCs/>
      <w:color w:val="404040" w:themeColor="text1" w:themeTint="BF"/>
    </w:rPr>
  </w:style>
  <w:style w:type="character" w:styleId="164">
    <w:name w:val="Quote Char"/>
    <w:basedOn w:val="996"/>
    <w:link w:val="163"/>
    <w:uiPriority w:val="29"/>
    <w:pPr>
      <w:pBdr/>
      <w:spacing/>
      <w:ind/>
    </w:pPr>
    <w:rPr>
      <w:i/>
      <w:iCs/>
      <w:color w:val="404040" w:themeColor="text1" w:themeTint="BF"/>
    </w:rPr>
  </w:style>
  <w:style w:type="character" w:styleId="166">
    <w:name w:val="Intense Emphasis"/>
    <w:basedOn w:val="996"/>
    <w:uiPriority w:val="21"/>
    <w:qFormat/>
    <w:pPr>
      <w:pBdr/>
      <w:spacing/>
      <w:ind/>
    </w:pPr>
    <w:rPr>
      <w:i/>
      <w:iCs/>
      <w:color w:val="0f4761" w:themeColor="accent1" w:themeShade="BF"/>
    </w:rPr>
  </w:style>
  <w:style w:type="paragraph" w:styleId="167">
    <w:name w:val="Intense Quote"/>
    <w:basedOn w:val="993"/>
    <w:next w:val="993"/>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996"/>
    <w:link w:val="167"/>
    <w:uiPriority w:val="30"/>
    <w:pPr>
      <w:pBdr/>
      <w:spacing/>
      <w:ind/>
    </w:pPr>
    <w:rPr>
      <w:i/>
      <w:iCs/>
      <w:color w:val="0f4761" w:themeColor="accent1" w:themeShade="BF"/>
    </w:rPr>
  </w:style>
  <w:style w:type="character" w:styleId="169">
    <w:name w:val="Intense Reference"/>
    <w:basedOn w:val="996"/>
    <w:uiPriority w:val="32"/>
    <w:qFormat/>
    <w:pPr>
      <w:pBdr/>
      <w:spacing/>
      <w:ind/>
    </w:pPr>
    <w:rPr>
      <w:b/>
      <w:bCs/>
      <w:smallCaps/>
      <w:color w:val="0f4761" w:themeColor="accent1" w:themeShade="BF"/>
      <w:spacing w:val="5"/>
    </w:rPr>
  </w:style>
  <w:style w:type="character" w:styleId="171">
    <w:name w:val="Subtle Emphasis"/>
    <w:basedOn w:val="996"/>
    <w:uiPriority w:val="19"/>
    <w:qFormat/>
    <w:pPr>
      <w:pBdr/>
      <w:spacing/>
      <w:ind/>
    </w:pPr>
    <w:rPr>
      <w:i/>
      <w:iCs/>
      <w:color w:val="404040" w:themeColor="text1" w:themeTint="BF"/>
    </w:rPr>
  </w:style>
  <w:style w:type="character" w:styleId="172">
    <w:name w:val="Emphasis"/>
    <w:basedOn w:val="996"/>
    <w:uiPriority w:val="20"/>
    <w:qFormat/>
    <w:pPr>
      <w:pBdr/>
      <w:spacing/>
      <w:ind/>
    </w:pPr>
    <w:rPr>
      <w:i/>
      <w:iCs/>
    </w:rPr>
  </w:style>
  <w:style w:type="character" w:styleId="173">
    <w:name w:val="Strong"/>
    <w:basedOn w:val="996"/>
    <w:uiPriority w:val="22"/>
    <w:qFormat/>
    <w:pPr>
      <w:pBdr/>
      <w:spacing/>
      <w:ind/>
    </w:pPr>
    <w:rPr>
      <w:b/>
      <w:bCs/>
    </w:rPr>
  </w:style>
  <w:style w:type="character" w:styleId="174">
    <w:name w:val="Subtle Reference"/>
    <w:basedOn w:val="996"/>
    <w:uiPriority w:val="31"/>
    <w:qFormat/>
    <w:pPr>
      <w:pBdr/>
      <w:spacing/>
      <w:ind/>
    </w:pPr>
    <w:rPr>
      <w:smallCaps/>
      <w:color w:val="5a5a5a" w:themeColor="text1" w:themeTint="A5"/>
    </w:rPr>
  </w:style>
  <w:style w:type="character" w:styleId="175">
    <w:name w:val="Book Title"/>
    <w:basedOn w:val="996"/>
    <w:uiPriority w:val="33"/>
    <w:qFormat/>
    <w:pPr>
      <w:pBdr/>
      <w:spacing/>
      <w:ind/>
    </w:pPr>
    <w:rPr>
      <w:b/>
      <w:bCs/>
      <w:i/>
      <w:iCs/>
      <w:spacing w:val="5"/>
    </w:rPr>
  </w:style>
  <w:style w:type="paragraph" w:styleId="180">
    <w:name w:val="Caption"/>
    <w:basedOn w:val="993"/>
    <w:next w:val="993"/>
    <w:uiPriority w:val="35"/>
    <w:unhideWhenUsed/>
    <w:qFormat/>
    <w:pPr>
      <w:pBdr/>
      <w:spacing w:after="200" w:line="240" w:lineRule="auto"/>
      <w:ind/>
    </w:pPr>
    <w:rPr>
      <w:i/>
      <w:iCs/>
      <w:color w:val="0e2841" w:themeColor="text2"/>
      <w:sz w:val="18"/>
      <w:szCs w:val="18"/>
    </w:rPr>
  </w:style>
  <w:style w:type="character" w:styleId="182">
    <w:name w:val="Footnote Text Char"/>
    <w:basedOn w:val="996"/>
    <w:link w:val="1008"/>
    <w:uiPriority w:val="99"/>
    <w:semiHidden/>
    <w:pPr>
      <w:pBdr/>
      <w:spacing/>
      <w:ind/>
    </w:pPr>
    <w:rPr>
      <w:sz w:val="20"/>
      <w:szCs w:val="20"/>
    </w:rPr>
  </w:style>
  <w:style w:type="paragraph" w:styleId="184">
    <w:name w:val="endnote text"/>
    <w:basedOn w:val="993"/>
    <w:link w:val="185"/>
    <w:uiPriority w:val="99"/>
    <w:semiHidden/>
    <w:unhideWhenUsed/>
    <w:pPr>
      <w:pBdr/>
      <w:spacing w:after="0" w:line="240" w:lineRule="auto"/>
      <w:ind/>
    </w:pPr>
    <w:rPr>
      <w:sz w:val="20"/>
      <w:szCs w:val="20"/>
    </w:rPr>
  </w:style>
  <w:style w:type="character" w:styleId="185">
    <w:name w:val="Endnote Text Char"/>
    <w:basedOn w:val="996"/>
    <w:link w:val="184"/>
    <w:uiPriority w:val="99"/>
    <w:semiHidden/>
    <w:pPr>
      <w:pBdr/>
      <w:spacing/>
      <w:ind/>
    </w:pPr>
    <w:rPr>
      <w:sz w:val="20"/>
      <w:szCs w:val="20"/>
    </w:rPr>
  </w:style>
  <w:style w:type="character" w:styleId="186">
    <w:name w:val="endnote reference"/>
    <w:basedOn w:val="996"/>
    <w:uiPriority w:val="99"/>
    <w:semiHidden/>
    <w:unhideWhenUsed/>
    <w:pPr>
      <w:pBdr/>
      <w:spacing/>
      <w:ind/>
    </w:pPr>
    <w:rPr>
      <w:vertAlign w:val="superscript"/>
    </w:rPr>
  </w:style>
  <w:style w:type="character" w:styleId="188">
    <w:name w:val="FollowedHyperlink"/>
    <w:basedOn w:val="996"/>
    <w:uiPriority w:val="99"/>
    <w:semiHidden/>
    <w:unhideWhenUsed/>
    <w:pPr>
      <w:pBdr/>
      <w:spacing/>
      <w:ind/>
    </w:pPr>
    <w:rPr>
      <w:color w:val="954f72" w:themeColor="followedHyperlink"/>
      <w:u w:val="single"/>
    </w:rPr>
  </w:style>
  <w:style w:type="paragraph" w:styleId="189">
    <w:name w:val="toc 1"/>
    <w:basedOn w:val="993"/>
    <w:next w:val="993"/>
    <w:uiPriority w:val="39"/>
    <w:unhideWhenUsed/>
    <w:pPr>
      <w:pBdr/>
      <w:spacing w:after="100"/>
      <w:ind/>
    </w:pPr>
  </w:style>
  <w:style w:type="paragraph" w:styleId="190">
    <w:name w:val="toc 2"/>
    <w:basedOn w:val="993"/>
    <w:next w:val="993"/>
    <w:uiPriority w:val="39"/>
    <w:unhideWhenUsed/>
    <w:pPr>
      <w:pBdr/>
      <w:spacing w:after="100"/>
      <w:ind w:left="220"/>
    </w:pPr>
  </w:style>
  <w:style w:type="paragraph" w:styleId="191">
    <w:name w:val="toc 3"/>
    <w:basedOn w:val="993"/>
    <w:next w:val="993"/>
    <w:uiPriority w:val="39"/>
    <w:unhideWhenUsed/>
    <w:pPr>
      <w:pBdr/>
      <w:spacing w:after="100"/>
      <w:ind w:left="440"/>
    </w:pPr>
  </w:style>
  <w:style w:type="paragraph" w:styleId="192">
    <w:name w:val="toc 4"/>
    <w:basedOn w:val="993"/>
    <w:next w:val="993"/>
    <w:uiPriority w:val="39"/>
    <w:unhideWhenUsed/>
    <w:pPr>
      <w:pBdr/>
      <w:spacing w:after="100"/>
      <w:ind w:left="660"/>
    </w:pPr>
  </w:style>
  <w:style w:type="paragraph" w:styleId="193">
    <w:name w:val="toc 5"/>
    <w:basedOn w:val="993"/>
    <w:next w:val="993"/>
    <w:uiPriority w:val="39"/>
    <w:unhideWhenUsed/>
    <w:pPr>
      <w:pBdr/>
      <w:spacing w:after="100"/>
      <w:ind w:left="880"/>
    </w:pPr>
  </w:style>
  <w:style w:type="paragraph" w:styleId="194">
    <w:name w:val="toc 6"/>
    <w:basedOn w:val="993"/>
    <w:next w:val="993"/>
    <w:uiPriority w:val="39"/>
    <w:unhideWhenUsed/>
    <w:pPr>
      <w:pBdr/>
      <w:spacing w:after="100"/>
      <w:ind w:left="1100"/>
    </w:pPr>
  </w:style>
  <w:style w:type="paragraph" w:styleId="195">
    <w:name w:val="toc 7"/>
    <w:basedOn w:val="993"/>
    <w:next w:val="993"/>
    <w:uiPriority w:val="39"/>
    <w:unhideWhenUsed/>
    <w:pPr>
      <w:pBdr/>
      <w:spacing w:after="100"/>
      <w:ind w:left="1320"/>
    </w:pPr>
  </w:style>
  <w:style w:type="paragraph" w:styleId="196">
    <w:name w:val="toc 8"/>
    <w:basedOn w:val="993"/>
    <w:next w:val="993"/>
    <w:uiPriority w:val="39"/>
    <w:unhideWhenUsed/>
    <w:pPr>
      <w:pBdr/>
      <w:spacing w:after="100"/>
      <w:ind w:left="1540"/>
    </w:pPr>
  </w:style>
  <w:style w:type="paragraph" w:styleId="197">
    <w:name w:val="toc 9"/>
    <w:basedOn w:val="993"/>
    <w:next w:val="993"/>
    <w:uiPriority w:val="39"/>
    <w:unhideWhenUsed/>
    <w:pPr>
      <w:pBdr/>
      <w:spacing w:after="100"/>
      <w:ind w:left="1760"/>
    </w:pPr>
  </w:style>
  <w:style w:type="paragraph" w:styleId="208">
    <w:name w:val="TOC Heading"/>
    <w:uiPriority w:val="39"/>
    <w:unhideWhenUsed/>
    <w:pPr>
      <w:pBdr/>
      <w:spacing/>
      <w:ind/>
    </w:pPr>
  </w:style>
  <w:style w:type="paragraph" w:styleId="209">
    <w:name w:val="table of figures"/>
    <w:basedOn w:val="993"/>
    <w:next w:val="993"/>
    <w:uiPriority w:val="99"/>
    <w:unhideWhenUsed/>
    <w:pPr>
      <w:pBdr/>
      <w:spacing w:after="0" w:afterAutospacing="0"/>
      <w:ind/>
    </w:pPr>
  </w:style>
  <w:style w:type="paragraph" w:styleId="993" w:default="1">
    <w:name w:val="Normal"/>
    <w:qFormat/>
    <w:pPr>
      <w:pBdr/>
      <w:spacing/>
      <w:ind/>
    </w:pPr>
    <w:rPr>
      <w:sz w:val="24"/>
      <w:szCs w:val="24"/>
    </w:rPr>
  </w:style>
  <w:style w:type="paragraph" w:styleId="994">
    <w:name w:val="Heading 2"/>
    <w:basedOn w:val="993"/>
    <w:next w:val="993"/>
    <w:link w:val="1028"/>
    <w:semiHidden/>
    <w:unhideWhenUsed/>
    <w:qFormat/>
    <w:pPr>
      <w:keepNext w:val="true"/>
      <w:keepLines w:val="true"/>
      <w:pBdr/>
      <w:spacing w:before="40"/>
      <w:ind/>
      <w:outlineLvl w:val="1"/>
    </w:pPr>
    <w:rPr>
      <w:rFonts w:asciiTheme="majorHAnsi" w:hAnsiTheme="majorHAnsi" w:eastAsiaTheme="majorEastAsia" w:cstheme="majorBidi"/>
      <w:color w:val="365f91" w:themeColor="accent1" w:themeShade="BF"/>
      <w:sz w:val="26"/>
      <w:szCs w:val="26"/>
    </w:rPr>
  </w:style>
  <w:style w:type="paragraph" w:styleId="995">
    <w:name w:val="Heading 4"/>
    <w:basedOn w:val="993"/>
    <w:next w:val="993"/>
    <w:qFormat/>
    <w:pPr>
      <w:keepNext w:val="true"/>
      <w:pBdr/>
      <w:spacing/>
      <w:ind/>
      <w:outlineLvl w:val="3"/>
    </w:pPr>
    <w:rPr>
      <w:rFonts w:ascii="Arial" w:hAnsi="Arial" w:cs="Arial"/>
      <w:b/>
      <w:bCs/>
      <w:i/>
      <w:iCs/>
      <w:sz w:val="22"/>
      <w:szCs w:val="20"/>
    </w:rPr>
  </w:style>
  <w:style w:type="character" w:styleId="996" w:default="1">
    <w:name w:val="Default Paragraph Font"/>
    <w:uiPriority w:val="1"/>
    <w:semiHidden/>
    <w:unhideWhenUsed/>
    <w:pPr>
      <w:pBdr/>
      <w:spacing/>
      <w:ind/>
    </w:pPr>
  </w:style>
  <w:style w:type="table" w:styleId="99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98" w:default="1">
    <w:name w:val="No List"/>
    <w:uiPriority w:val="99"/>
    <w:semiHidden/>
    <w:unhideWhenUsed/>
    <w:pPr>
      <w:pBdr/>
      <w:spacing/>
      <w:ind/>
    </w:pPr>
  </w:style>
  <w:style w:type="paragraph" w:styleId="999">
    <w:name w:val="Body Text"/>
    <w:basedOn w:val="993"/>
    <w:pPr>
      <w:pBdr/>
      <w:tabs>
        <w:tab w:val="left" w:leader="none" w:pos="-1309"/>
        <w:tab w:val="left" w:leader="none" w:pos="-743"/>
        <w:tab w:val="left" w:leader="none" w:pos="-589"/>
        <w:tab w:val="left" w:leader="none" w:pos="-176"/>
        <w:tab w:val="left" w:leader="none" w:pos="0"/>
        <w:tab w:val="left" w:leader="none" w:pos="390"/>
        <w:tab w:val="left" w:leader="none" w:pos="851"/>
        <w:tab w:val="left" w:leader="none" w:pos="956"/>
        <w:tab w:val="left" w:leader="none" w:pos="1523"/>
        <w:tab w:val="left" w:leader="none" w:pos="1571"/>
        <w:tab w:val="left" w:leader="none" w:pos="2089"/>
        <w:tab w:val="left" w:leader="none" w:pos="2291"/>
        <w:tab w:val="left" w:leader="none" w:pos="2656"/>
        <w:tab w:val="left" w:leader="none" w:pos="3011"/>
        <w:tab w:val="left" w:leader="none" w:pos="3222"/>
        <w:tab w:val="left" w:leader="none" w:pos="3731"/>
        <w:tab w:val="left" w:leader="none" w:pos="3788"/>
        <w:tab w:val="left" w:leader="none" w:pos="4355"/>
        <w:tab w:val="left" w:leader="none" w:pos="4451"/>
        <w:tab w:val="left" w:leader="none" w:pos="4921"/>
        <w:tab w:val="left" w:leader="none" w:pos="5171"/>
        <w:tab w:val="left" w:leader="none" w:pos="5488"/>
        <w:tab w:val="left" w:leader="none" w:pos="5891"/>
        <w:tab w:val="left" w:leader="none" w:pos="6611"/>
        <w:tab w:val="left" w:leader="none" w:pos="7331"/>
        <w:tab w:val="left" w:leader="none" w:pos="8051"/>
        <w:tab w:val="left" w:leader="none" w:pos="8771"/>
        <w:tab w:val="left" w:leader="none" w:pos="9491"/>
        <w:tab w:val="left" w:leader="none" w:pos="10211"/>
        <w:tab w:val="left" w:leader="none" w:pos="10931"/>
        <w:tab w:val="left" w:leader="none" w:pos="11651"/>
        <w:tab w:val="left" w:leader="none" w:pos="12371"/>
        <w:tab w:val="left" w:leader="none" w:pos="13091"/>
        <w:tab w:val="left" w:leader="none" w:pos="13811"/>
        <w:tab w:val="left" w:leader="none" w:pos="14531"/>
        <w:tab w:val="left" w:leader="none" w:pos="15251"/>
        <w:tab w:val="left" w:leader="none" w:pos="15971"/>
        <w:tab w:val="left" w:leader="none" w:pos="16691"/>
        <w:tab w:val="left" w:leader="none" w:pos="17411"/>
        <w:tab w:val="left" w:leader="none" w:pos="18131"/>
      </w:tabs>
      <w:spacing/>
      <w:ind/>
      <w:jc w:val="both"/>
    </w:pPr>
    <w:rPr>
      <w:spacing w:val="-2"/>
      <w:sz w:val="22"/>
    </w:rPr>
  </w:style>
  <w:style w:type="table" w:styleId="1000">
    <w:name w:val="Table Grid"/>
    <w:basedOn w:val="997"/>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01">
    <w:name w:val="Header"/>
    <w:basedOn w:val="993"/>
    <w:link w:val="1003"/>
    <w:uiPriority w:val="99"/>
    <w:pPr>
      <w:pBdr/>
      <w:tabs>
        <w:tab w:val="center" w:leader="none" w:pos="4536"/>
        <w:tab w:val="right" w:leader="none" w:pos="9072"/>
      </w:tabs>
      <w:spacing/>
      <w:ind/>
    </w:pPr>
  </w:style>
  <w:style w:type="paragraph" w:styleId="1002">
    <w:name w:val="Footer"/>
    <w:basedOn w:val="993"/>
    <w:link w:val="1020"/>
    <w:uiPriority w:val="99"/>
    <w:pPr>
      <w:pBdr/>
      <w:tabs>
        <w:tab w:val="center" w:leader="none" w:pos="4536"/>
        <w:tab w:val="right" w:leader="none" w:pos="9072"/>
      </w:tabs>
      <w:spacing/>
      <w:ind/>
    </w:pPr>
  </w:style>
  <w:style w:type="character" w:styleId="1003" w:customStyle="1">
    <w:name w:val="Header Char"/>
    <w:basedOn w:val="996"/>
    <w:link w:val="1001"/>
    <w:uiPriority w:val="99"/>
    <w:pPr>
      <w:pBdr/>
      <w:spacing/>
      <w:ind/>
    </w:pPr>
    <w:rPr>
      <w:sz w:val="24"/>
      <w:szCs w:val="24"/>
      <w:lang w:val="fr-FR" w:eastAsia="fr-FR" w:bidi="ar-SA"/>
    </w:rPr>
  </w:style>
  <w:style w:type="character" w:styleId="1004">
    <w:name w:val="page number"/>
    <w:basedOn w:val="996"/>
    <w:pPr>
      <w:pBdr/>
      <w:spacing/>
      <w:ind/>
    </w:pPr>
  </w:style>
  <w:style w:type="paragraph" w:styleId="1005" w:customStyle="1">
    <w:name w:val="Paragraphe de liste1"/>
    <w:basedOn w:val="993"/>
    <w:pPr>
      <w:pBdr/>
      <w:spacing w:after="200" w:line="276" w:lineRule="auto"/>
      <w:ind w:left="720"/>
      <w:contextualSpacing w:val="true"/>
    </w:pPr>
    <w:rPr>
      <w:rFonts w:ascii="Calibri" w:hAnsi="Calibri" w:eastAsia="Calibri"/>
      <w:sz w:val="22"/>
      <w:szCs w:val="22"/>
      <w:lang w:eastAsia="en-US"/>
    </w:rPr>
  </w:style>
  <w:style w:type="paragraph" w:styleId="1006" w:customStyle="1">
    <w:name w:val="Paragraphe de liste1"/>
    <w:basedOn w:val="993"/>
    <w:pPr>
      <w:widowControl w:val="false"/>
      <w:pBdr/>
      <w:spacing/>
      <w:ind w:left="720"/>
      <w:contextualSpacing w:val="true"/>
    </w:pPr>
    <w:rPr>
      <w:rFonts w:ascii="Courier New" w:hAnsi="Courier New" w:eastAsia="SimSun"/>
      <w:szCs w:val="20"/>
      <w:lang w:eastAsia="en-US"/>
    </w:rPr>
  </w:style>
  <w:style w:type="character" w:styleId="1007" w:customStyle="1">
    <w:name w:val="Car Car2"/>
    <w:basedOn w:val="996"/>
    <w:pPr>
      <w:pBdr/>
      <w:spacing/>
      <w:ind/>
    </w:pPr>
    <w:rPr>
      <w:sz w:val="24"/>
      <w:szCs w:val="24"/>
      <w:lang w:val="fr-FR" w:eastAsia="fr-FR" w:bidi="ar-SA"/>
    </w:rPr>
  </w:style>
  <w:style w:type="paragraph" w:styleId="1008">
    <w:name w:val="footnote text"/>
    <w:basedOn w:val="993"/>
    <w:semiHidden/>
    <w:pPr>
      <w:pBdr/>
      <w:spacing/>
      <w:ind/>
    </w:pPr>
    <w:rPr>
      <w:sz w:val="20"/>
      <w:szCs w:val="20"/>
    </w:rPr>
  </w:style>
  <w:style w:type="character" w:styleId="1009">
    <w:name w:val="footnote reference"/>
    <w:basedOn w:val="996"/>
    <w:semiHidden/>
    <w:pPr>
      <w:pBdr/>
      <w:spacing/>
      <w:ind/>
    </w:pPr>
    <w:rPr>
      <w:vertAlign w:val="superscript"/>
    </w:rPr>
  </w:style>
  <w:style w:type="character" w:styleId="1010">
    <w:name w:val="annotation reference"/>
    <w:basedOn w:val="996"/>
    <w:pPr>
      <w:pBdr/>
      <w:spacing/>
      <w:ind/>
    </w:pPr>
    <w:rPr>
      <w:sz w:val="16"/>
      <w:szCs w:val="16"/>
    </w:rPr>
  </w:style>
  <w:style w:type="paragraph" w:styleId="1011">
    <w:name w:val="annotation text"/>
    <w:basedOn w:val="993"/>
    <w:link w:val="1030"/>
    <w:uiPriority w:val="99"/>
    <w:pPr>
      <w:pBdr/>
      <w:spacing/>
      <w:ind/>
    </w:pPr>
    <w:rPr>
      <w:sz w:val="20"/>
      <w:szCs w:val="20"/>
    </w:rPr>
  </w:style>
  <w:style w:type="paragraph" w:styleId="1012">
    <w:name w:val="annotation subject"/>
    <w:basedOn w:val="1011"/>
    <w:next w:val="1011"/>
    <w:semiHidden/>
    <w:pPr>
      <w:pBdr/>
      <w:spacing/>
      <w:ind/>
    </w:pPr>
    <w:rPr>
      <w:b/>
      <w:bCs/>
    </w:rPr>
  </w:style>
  <w:style w:type="paragraph" w:styleId="1013">
    <w:name w:val="Balloon Text"/>
    <w:basedOn w:val="993"/>
    <w:semiHidden/>
    <w:pPr>
      <w:pBdr/>
      <w:spacing/>
      <w:ind/>
    </w:pPr>
    <w:rPr>
      <w:rFonts w:ascii="Tahoma" w:hAnsi="Tahoma" w:cs="Tahoma"/>
      <w:sz w:val="16"/>
      <w:szCs w:val="16"/>
    </w:rPr>
  </w:style>
  <w:style w:type="character" w:styleId="1014">
    <w:name w:val="Placeholder Text"/>
    <w:basedOn w:val="996"/>
    <w:uiPriority w:val="99"/>
    <w:semiHidden/>
    <w:pPr>
      <w:pBdr/>
      <w:spacing/>
      <w:ind/>
    </w:pPr>
    <w:rPr>
      <w:color w:val="808080"/>
    </w:rPr>
  </w:style>
  <w:style w:type="character" w:styleId="1015">
    <w:name w:val="Hyperlink"/>
    <w:basedOn w:val="996"/>
    <w:uiPriority w:val="99"/>
    <w:pPr>
      <w:pBdr/>
      <w:spacing/>
      <w:ind/>
    </w:pPr>
    <w:rPr>
      <w:color w:val="0000ff"/>
      <w:u w:val="single"/>
    </w:rPr>
  </w:style>
  <w:style w:type="paragraph" w:styleId="1016">
    <w:name w:val="List Paragraph"/>
    <w:basedOn w:val="993"/>
    <w:uiPriority w:val="34"/>
    <w:qFormat/>
    <w:pPr>
      <w:pBdr/>
      <w:spacing/>
      <w:ind w:left="720"/>
      <w:contextualSpacing w:val="true"/>
    </w:pPr>
  </w:style>
  <w:style w:type="paragraph" w:styleId="1017" w:customStyle="1">
    <w:name w:val="Paragraphe de liste2"/>
    <w:basedOn w:val="993"/>
    <w:uiPriority w:val="34"/>
    <w:qFormat/>
    <w:pPr>
      <w:pBdr/>
      <w:spacing/>
      <w:ind w:left="708"/>
    </w:pPr>
  </w:style>
  <w:style w:type="table" w:styleId="1018" w:customStyle="1">
    <w:name w:val="Grille du tableau1"/>
    <w:basedOn w:val="997"/>
    <w:next w:val="1000"/>
    <w:uiPriority w:val="39"/>
    <w:pPr>
      <w:pBdr/>
      <w:spacing/>
      <w:ind/>
    </w:pPr>
    <w:rPr>
      <w:rFonts w:asciiTheme="minorHAnsi" w:hAnsiTheme="minorHAnsi" w:eastAsiaTheme="minorHAnsi" w:cstheme="minorBid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19" w:customStyle="1">
    <w:name w:val="Default"/>
    <w:pPr>
      <w:pBdr/>
      <w:spacing/>
      <w:ind/>
    </w:pPr>
    <w:rPr>
      <w:rFonts w:ascii="Georgia" w:hAnsi="Georgia" w:cs="Georgia"/>
      <w:color w:val="000000"/>
      <w:sz w:val="24"/>
      <w:szCs w:val="24"/>
    </w:rPr>
  </w:style>
  <w:style w:type="character" w:styleId="1020" w:customStyle="1">
    <w:name w:val="Footer Char"/>
    <w:basedOn w:val="996"/>
    <w:link w:val="1002"/>
    <w:uiPriority w:val="99"/>
    <w:pPr>
      <w:pBdr/>
      <w:spacing/>
      <w:ind/>
    </w:pPr>
    <w:rPr>
      <w:sz w:val="24"/>
      <w:szCs w:val="24"/>
    </w:rPr>
  </w:style>
  <w:style w:type="paragraph" w:styleId="1021" w:customStyle="1">
    <w:name w:val="texte puce2"/>
    <w:basedOn w:val="993"/>
    <w:pPr>
      <w:numPr>
        <w:numId w:val="3"/>
      </w:numPr>
      <w:pBdr/>
      <w:spacing w:line="300" w:lineRule="atLeast"/>
      <w:ind/>
    </w:pPr>
    <w:rPr>
      <w:rFonts w:ascii="Arial" w:hAnsi="Arial" w:eastAsia="Times"/>
      <w:sz w:val="20"/>
      <w:szCs w:val="20"/>
    </w:rPr>
  </w:style>
  <w:style w:type="paragraph" w:styleId="1022" w:customStyle="1">
    <w:name w:val="a"/>
    <w:basedOn w:val="993"/>
    <w:pPr>
      <w:pBdr/>
      <w:spacing/>
      <w:ind/>
      <w:jc w:val="both"/>
    </w:pPr>
    <w:rPr>
      <w:rFonts w:ascii="Arial" w:hAnsi="Arial"/>
      <w:sz w:val="22"/>
      <w:szCs w:val="20"/>
    </w:rPr>
  </w:style>
  <w:style w:type="character" w:styleId="1023">
    <w:name w:val="Unresolved Mention"/>
    <w:basedOn w:val="996"/>
    <w:uiPriority w:val="99"/>
    <w:semiHidden/>
    <w:unhideWhenUsed/>
    <w:pPr>
      <w:pBdr/>
      <w:spacing/>
      <w:ind/>
    </w:pPr>
    <w:rPr>
      <w:color w:val="605e5c"/>
      <w:shd w:val="clear" w:color="auto" w:fill="e1dfdd"/>
    </w:rPr>
  </w:style>
  <w:style w:type="paragraph" w:styleId="1024" w:customStyle="1">
    <w:name w:val="paragraph"/>
    <w:basedOn w:val="993"/>
    <w:pPr>
      <w:pBdr/>
      <w:spacing w:after="100" w:afterAutospacing="1" w:before="100" w:beforeAutospacing="1"/>
      <w:ind/>
    </w:pPr>
    <w:rPr>
      <w:lang w:eastAsia="en-US"/>
    </w:rPr>
  </w:style>
  <w:style w:type="character" w:styleId="1025" w:customStyle="1">
    <w:name w:val="normaltextrun"/>
    <w:basedOn w:val="996"/>
    <w:pPr>
      <w:pBdr/>
      <w:spacing/>
      <w:ind/>
    </w:pPr>
  </w:style>
  <w:style w:type="character" w:styleId="1026" w:customStyle="1">
    <w:name w:val="eop"/>
    <w:basedOn w:val="996"/>
    <w:pPr>
      <w:pBdr/>
      <w:spacing/>
      <w:ind/>
    </w:pPr>
  </w:style>
  <w:style w:type="paragraph" w:styleId="1027">
    <w:name w:val="No Spacing"/>
    <w:uiPriority w:val="1"/>
    <w:qFormat/>
    <w:pPr>
      <w:pBdr/>
      <w:spacing/>
      <w:ind/>
    </w:pPr>
    <w:rPr>
      <w:rFonts w:ascii="Calibri" w:hAnsi="Calibri" w:eastAsia="Calibri" w:cs="Arial"/>
      <w:sz w:val="22"/>
      <w:szCs w:val="22"/>
      <w:lang w:val="en-US" w:eastAsia="en-US"/>
    </w:rPr>
  </w:style>
  <w:style w:type="character" w:styleId="1028" w:customStyle="1">
    <w:name w:val="Heading 2 Char"/>
    <w:basedOn w:val="996"/>
    <w:link w:val="994"/>
    <w:semiHidden/>
    <w:pPr>
      <w:pBdr/>
      <w:spacing/>
      <w:ind/>
    </w:pPr>
    <w:rPr>
      <w:rFonts w:asciiTheme="majorHAnsi" w:hAnsiTheme="majorHAnsi" w:eastAsiaTheme="majorEastAsia" w:cstheme="majorBidi"/>
      <w:color w:val="365f91" w:themeColor="accent1" w:themeShade="BF"/>
      <w:sz w:val="26"/>
      <w:szCs w:val="26"/>
    </w:rPr>
  </w:style>
  <w:style w:type="paragraph" w:styleId="1029" w:customStyle="1">
    <w:name w:val="v"/>
    <w:basedOn w:val="993"/>
    <w:pPr>
      <w:pBdr/>
      <w:spacing/>
      <w:ind w:hanging="562" w:left="562"/>
      <w:jc w:val="both"/>
    </w:pPr>
    <w:rPr>
      <w:rFonts w:ascii="Arial" w:hAnsi="Arial"/>
      <w:sz w:val="22"/>
      <w:szCs w:val="20"/>
    </w:rPr>
  </w:style>
  <w:style w:type="character" w:styleId="1030" w:customStyle="1">
    <w:name w:val="Comment Text Char"/>
    <w:basedOn w:val="996"/>
    <w:link w:val="1011"/>
    <w:uiPriority w:val="99"/>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hyperlink" Target="mailto:rayan.merheb@expertisefrance.fr" TargetMode="External"/><Relationship Id="rId17" Type="http://schemas.openxmlformats.org/officeDocument/2006/relationships/hyperlink" Target="mailto:Rayan.merheb@expertisefrance.fr" TargetMode="External"/><Relationship Id="rId18" Type="http://schemas.openxmlformats.org/officeDocument/2006/relationships/hyperlink" Target="mailto:lebanon.procurement@expertisefrance.fr" TargetMode="External"/><Relationship Id="rId19" Type="http://schemas.openxmlformats.org/officeDocument/2006/relationships/hyperlink" Target="https://www.diplomatie.gouv.fr/fr/conseils-aux-voyageurs/"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s>
</file>

<file path=word/_rels/header3.xml.rels><?xml version="1.0" encoding="UTF-8" standalone="yes"?><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938ED-B517-49F0-BE50-4B4D2C60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ONLYOFFICE/9.2.1.8</Application>
  <DocSecurity>0</DocSecurity>
  <ScaleCrop>0</ScaleCrop>
  <HeadingPairs>
    <vt:vector size="0" baseType="variant"/>
  </HeadingPairs>
  <TitlesOfParts>
    <vt:vector size="0" baseType="lpstr"/>
  </TitlesOfParts>
  <Company>MAE</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all Rayan MERHEB</cp:lastModifiedBy>
  <cp:revision>72</cp:revision>
  <dcterms:created xsi:type="dcterms:W3CDTF">2026-01-22T07:14:00Z</dcterms:created>
  <dcterms:modified xsi:type="dcterms:W3CDTF">2026-04-15T09:58:55Z</dcterms:modified>
</cp:coreProperties>
</file>